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 </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 </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 </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ניצול קטינים לזנות </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התופעה של ניצול קטינים לזנות היא תופעה חבויה המתרחשת לרוב במקומות סגורים. על פי מחקרים הגיל הממוצע של הכניסה למעגל הזנות הוא 13-1, אך מוכרים גם מקרים שבהם ילדים בני 11-12 נוצלו לזנות. בקרב אנשי המקצוע ישנה הסכמה שלתופעות הזנות קשר הדוק להתעללות מינית, להזנחה, לבעיות בבית הספר, למעמד סוציוקנומי נמוך, לחיים ברחוב ולחברות בקבוצות שוליים עברייניות (מתוך דוח מבקר המדינה – טיפול הרשויות בתופעה של ניצול קטינים לזנות). </w:t>
      </w:r>
      <w:r>
        <w:br/>
      </w:r>
      <w:r>
        <w:rPr>
          <w:rFonts w:hint="cs" w:ascii="Tahoma" w:hAnsi="Tahoma" w:cs="David"/>
          <w:sz w:val="24"/>
          <w:szCs w:val="24"/>
          <w:rtl/>
        </w:rPr>
        <w:t xml:space="preserve"/>
      </w:r>
      <w:r>
        <w:br/>
      </w:r>
      <w:r>
        <w:rPr>
          <w:rFonts w:hint="cs" w:ascii="Tahoma" w:hAnsi="Tahoma" w:cs="David"/>
          <w:sz w:val="24"/>
          <w:szCs w:val="24"/>
          <w:rtl/>
        </w:rPr>
        <w:t xml:space="preserve">להלן תמצית ממצאי דוח מבקר המדינה :</w:t>
      </w:r>
      <w:r>
        <w:br/>
      </w:r>
      <w:r>
        <w:rPr>
          <w:rFonts w:hint="cs" w:ascii="Tahoma" w:hAnsi="Tahoma" w:cs="David"/>
          <w:sz w:val="24"/>
          <w:szCs w:val="24"/>
          <w:rtl/>
        </w:rPr>
        <w:t xml:space="preserve"/>
      </w:r>
      <w:r>
        <w:br/>
      </w:r>
      <w:r>
        <w:rPr>
          <w:rFonts w:hint="cs" w:ascii="Tahoma" w:hAnsi="Tahoma" w:cs="David"/>
          <w:sz w:val="24"/>
          <w:szCs w:val="24"/>
          <w:rtl/>
        </w:rPr>
        <w:t xml:space="preserve">1.</w:t>
      </w:r>
      <w:r>
        <w:tab/>
      </w:r>
      <w:r>
        <w:rPr>
          <w:rFonts w:hint="cs" w:ascii="Tahoma" w:hAnsi="Tahoma" w:cs="David"/>
          <w:sz w:val="24"/>
          <w:szCs w:val="24"/>
          <w:rtl/>
        </w:rPr>
        <w:t xml:space="preserve">לדעת משרד מבקר המדינה יש לפעול במרץ לצמצום התופעה של ניצול קטינים לזנות, ולצורך כך מוטלת על רשויות המדינה האחריות העליונה לטיפול בנושא ואל להן להתנער מאחריותן ולהסתמך, בתחומים מסויימים, רק על פעולתו החשובה של המגזר השלישי. </w:t>
      </w:r>
      <w:r>
        <w:br/>
      </w:r>
      <w:r>
        <w:rPr>
          <w:rFonts w:hint="cs" w:ascii="Tahoma" w:hAnsi="Tahoma" w:cs="David"/>
          <w:sz w:val="24"/>
          <w:szCs w:val="24"/>
          <w:rtl/>
        </w:rPr>
        <w:t xml:space="preserve">2.</w:t>
      </w:r>
      <w:r>
        <w:tab/>
      </w:r>
      <w:r>
        <w:rPr>
          <w:rFonts w:hint="cs" w:ascii="Tahoma" w:hAnsi="Tahoma" w:cs="David"/>
          <w:sz w:val="24"/>
          <w:szCs w:val="24"/>
          <w:rtl/>
        </w:rPr>
        <w:t xml:space="preserve">טיפול אפקטיבי בתופעה מחייב איחוד כוחות ושיתוף פעולה בין כל גורמי האיתור והטיפול וכרוך גם בהעברת מידע רלוונטי בניהם – משרד הרווחה, משרד החינוך, הרשויות המקומיות ומשטרת ישראל. </w:t>
      </w:r>
      <w:r>
        <w:br/>
      </w:r>
      <w:r>
        <w:rPr>
          <w:rFonts w:hint="cs" w:ascii="Tahoma" w:hAnsi="Tahoma" w:cs="David"/>
          <w:sz w:val="24"/>
          <w:szCs w:val="24"/>
          <w:rtl/>
        </w:rPr>
        <w:t xml:space="preserve"/>
      </w:r>
      <w:r>
        <w:br/>
      </w:r>
      <w:r>
        <w:rPr>
          <w:rFonts w:hint="cs" w:ascii="Tahoma" w:hAnsi="Tahoma" w:cs="David"/>
          <w:sz w:val="24"/>
          <w:szCs w:val="24"/>
          <w:rtl/>
        </w:rPr>
        <w:t xml:space="preserve">לאור ממצאי הדוח, המלמדים שהטיפול בתופעה של ניצול קטינים לזנות לא הביא לאורך השנים לתוצאות המקוות, הנני מבקש לקיים דיון מהיר בועדת לביקורת המדינה בה יציגו המשרדים המעורבים את הגדרת התופעה, הכלים לאיתור קטינים המנוצלים לזנות, היקף התופעה והפעולות השונות למיגורה.</w:t>
      </w:r>
      <w:r>
        <w:br/>
      </w:r>
      <w:r>
        <w:rPr>
          <w:rFonts w:hint="cs" w:ascii="Tahoma" w:hAnsi="Tahoma" w:cs="David"/>
          <w:sz w:val="24"/>
          <w:szCs w:val="24"/>
          <w:rtl/>
        </w:rPr>
        <w:t xml:space="preserve"/>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 הכנסת</w:t>
      </w:r>
      <w:bookmarkEnd w:id="9"/>
      <w:r>
        <w:rPr>
          <w:rFonts w:hint="cs" w:cs="David"/>
          <w:sz w:val="24"/>
          <w:szCs w:val="24"/>
          <w:rtl/>
        </w:rPr>
        <w:t xml:space="preserve"> </w:t>
      </w:r>
      <w:bookmarkStart w:name="PM_Name" w:id="10"/>
      <w:r>
        <w:rPr>
          <w:rFonts w:hint="cs" w:cs="David"/>
          <w:sz w:val="24"/>
          <w:szCs w:val="24"/>
          <w:rtl/>
        </w:rPr>
        <w:t xml:space="preserve">מאיר כהן</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4F8A8-50A2-4435-BA41-A5911DEFB2CE}"/>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16</vt:r8>
  </property>
  <property fmtid="{D5CDD505-2E9C-101B-9397-08002B2CF9AE}" pid="5" name="SanhedrinItemID">
    <vt:r8>573835</vt:r8>
  </property>
</Properties>
</file>