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568299</w:t>
      </w:r>
      <w:bookmarkEnd w:id="1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rFonts w:hint="cs"/>
          <w:sz w:val="28"/>
          <w:szCs w:val="28"/>
          <w:rtl/>
        </w:rPr>
        <w:t>העשרים</w:t>
      </w:r>
      <w:bookmarkEnd w:id="2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3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3"/>
      <w:r w:rsidR="00B35784"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מיכל רוזין</w:t>
      </w:r>
      <w:bookmarkEnd w:id="4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5" w:name="LGS_Join_List"/>
      <w:r>
        <w:rPr>
          <w:rtl/>
        </w:rPr>
        <w:t xml:space="preserve"> </w:t>
      </w:r>
      <w:bookmarkEnd w:id="5"/>
      <w:r w:rsidR="002200A1" w:rsidRPr="00CF1AA2">
        <w:rPr>
          <w:rFonts w:hint="cs"/>
          <w:rtl/>
        </w:rPr>
        <w:tab/>
      </w:r>
      <w:bookmarkStart w:id="6" w:name="LGS_PM_NamesJoin"/>
      <w:r>
        <w:rPr>
          <w:rFonts w:hint="cs"/>
          <w:rtl/>
        </w:rPr>
        <w:t xml:space="preserve"> </w:t>
      </w:r>
      <w:bookmarkEnd w:id="6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7" w:name="Private_Number"/>
      <w:r>
        <w:rPr>
          <w:rFonts w:hint="cs"/>
          <w:rtl/>
        </w:rPr>
        <w:t>פ/2096/20</w:t>
      </w:r>
      <w:bookmarkEnd w:id="7"/>
    </w:p>
    <w:p w14:paraId="7F6961AD" w14:textId="77777777" w:rsidR="00E13C27" w:rsidRPr="00F67051" w:rsidRDefault="00A443CF" w:rsidP="0021633A">
      <w:pPr>
        <w:pStyle w:val="HeadHatzaotHok"/>
        <w:rPr>
          <w:rtl/>
        </w:rPr>
      </w:pPr>
      <w:bookmarkStart w:id="8" w:name="LGS_Subject"/>
      <w:r>
        <w:rPr>
          <w:rFonts w:hint="cs"/>
          <w:rtl/>
        </w:rPr>
        <w:t>הצעת חוק איסור נהיגה ברכב בחוף הים (תיקון  – סמכות בית המשפט לאסור שימוש ברכב ששימש לנסיעה בחוף), התשע"ו–2015</w:t>
      </w:r>
      <w:bookmarkEnd w:id="8"/>
    </w:p>
    <w:p w14:paraId="7F6961AE" w14:textId="00EF426C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1871"/>
        <w:gridCol w:w="624"/>
        <w:gridCol w:w="4651"/>
      </w:tblGrid>
      <w:tr w:rsidR="001B7560" w14:paraId="1B1D8565" w14:textId="77777777" w:rsidTr="006655F2">
        <w:trPr>
          <w:cantSplit/>
        </w:trPr>
        <w:tc>
          <w:tcPr>
            <w:tcW w:w="1871" w:type="dxa"/>
          </w:tcPr>
          <w:p w14:paraId="2C1CA1F4" w14:textId="0DA96331" w:rsidR="001B7560" w:rsidRDefault="001B7560" w:rsidP="00EE3425">
            <w:pPr>
              <w:pStyle w:val="TableSideHeading"/>
              <w:keepLines w:val="0"/>
              <w:ind w:right="0"/>
              <w:rPr>
                <w:rtl/>
              </w:rPr>
            </w:pPr>
            <w:r>
              <w:rPr>
                <w:rtl/>
              </w:rPr>
              <w:t>הוספת סעיף 7</w:t>
            </w:r>
            <w:r w:rsidR="00EE3425">
              <w:rPr>
                <w:rFonts w:hint="cs"/>
                <w:rtl/>
              </w:rPr>
              <w:t>ג</w:t>
            </w:r>
          </w:p>
        </w:tc>
        <w:tc>
          <w:tcPr>
            <w:tcW w:w="624" w:type="dxa"/>
          </w:tcPr>
          <w:p w14:paraId="617DD712" w14:textId="77777777" w:rsidR="001B7560" w:rsidRDefault="001B7560" w:rsidP="006655F2">
            <w:pPr>
              <w:pStyle w:val="TableText"/>
              <w:keepLines w:val="0"/>
            </w:pPr>
            <w:r>
              <w:rPr>
                <w:rtl/>
              </w:rPr>
              <w:t xml:space="preserve">1. </w:t>
            </w:r>
          </w:p>
        </w:tc>
        <w:tc>
          <w:tcPr>
            <w:tcW w:w="7146" w:type="dxa"/>
            <w:gridSpan w:val="3"/>
          </w:tcPr>
          <w:p w14:paraId="33B0A7AE" w14:textId="1B9A3A85" w:rsidR="001B7560" w:rsidRPr="008C50A7" w:rsidRDefault="001B7560" w:rsidP="00EE3425">
            <w:pPr>
              <w:pStyle w:val="TableBlock"/>
            </w:pPr>
            <w:r w:rsidRPr="008C50A7">
              <w:rPr>
                <w:rtl/>
              </w:rPr>
              <w:t>בחוק איסור נהיגה ברכב בחוף הים</w:t>
            </w:r>
            <w:r>
              <w:rPr>
                <w:rtl/>
              </w:rPr>
              <w:t>,</w:t>
            </w:r>
            <w:r w:rsidRPr="008C50A7">
              <w:rPr>
                <w:rtl/>
              </w:rPr>
              <w:t xml:space="preserve"> התשנ"ז–1997</w:t>
            </w:r>
            <w:r>
              <w:rPr>
                <w:rStyle w:val="a6"/>
                <w:rtl/>
              </w:rPr>
              <w:footnoteReference w:id="2"/>
            </w:r>
            <w:r>
              <w:rPr>
                <w:rtl/>
              </w:rPr>
              <w:t>, אחרי סעיף 7</w:t>
            </w:r>
            <w:r w:rsidR="00EE3425">
              <w:rPr>
                <w:rFonts w:hint="cs"/>
                <w:rtl/>
              </w:rPr>
              <w:t>ב</w:t>
            </w:r>
            <w:r>
              <w:rPr>
                <w:rtl/>
              </w:rPr>
              <w:t xml:space="preserve"> יבוא:</w:t>
            </w:r>
          </w:p>
        </w:tc>
      </w:tr>
      <w:tr w:rsidR="001B7560" w14:paraId="00D38B22" w14:textId="77777777" w:rsidTr="006655F2">
        <w:trPr>
          <w:cantSplit/>
        </w:trPr>
        <w:tc>
          <w:tcPr>
            <w:tcW w:w="1871" w:type="dxa"/>
          </w:tcPr>
          <w:p w14:paraId="56933C98" w14:textId="77777777" w:rsidR="001B7560" w:rsidRDefault="001B7560" w:rsidP="006655F2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6988894E" w14:textId="77777777" w:rsidR="001B7560" w:rsidRDefault="001B7560" w:rsidP="006655F2">
            <w:pPr>
              <w:pStyle w:val="TableText"/>
              <w:keepLines w:val="0"/>
            </w:pPr>
          </w:p>
        </w:tc>
        <w:tc>
          <w:tcPr>
            <w:tcW w:w="1871" w:type="dxa"/>
          </w:tcPr>
          <w:p w14:paraId="3608595E" w14:textId="77777777" w:rsidR="001B7560" w:rsidRDefault="001B7560" w:rsidP="006655F2">
            <w:pPr>
              <w:pStyle w:val="TableInnerSideHeading"/>
            </w:pPr>
            <w:r>
              <w:rPr>
                <w:rtl/>
              </w:rPr>
              <w:t>"סמכות בית המשפט לאסור שימוש ברכב</w:t>
            </w:r>
          </w:p>
        </w:tc>
        <w:tc>
          <w:tcPr>
            <w:tcW w:w="624" w:type="dxa"/>
          </w:tcPr>
          <w:p w14:paraId="7959316E" w14:textId="7AFA2AD9" w:rsidR="001B7560" w:rsidRDefault="001B7560" w:rsidP="00EE3425">
            <w:pPr>
              <w:pStyle w:val="TableText"/>
            </w:pPr>
            <w:r>
              <w:rPr>
                <w:rtl/>
              </w:rPr>
              <w:t>7</w:t>
            </w:r>
            <w:r w:rsidR="00EE3425">
              <w:rPr>
                <w:rFonts w:hint="cs"/>
                <w:rtl/>
              </w:rPr>
              <w:t>ג</w:t>
            </w:r>
            <w:r>
              <w:rPr>
                <w:rtl/>
              </w:rPr>
              <w:t xml:space="preserve">. </w:t>
            </w:r>
          </w:p>
        </w:tc>
        <w:tc>
          <w:tcPr>
            <w:tcW w:w="4651" w:type="dxa"/>
          </w:tcPr>
          <w:p w14:paraId="6DCA3155" w14:textId="66C48A8A" w:rsidR="001B7560" w:rsidRDefault="001B7560" w:rsidP="00FB0194">
            <w:pPr>
              <w:pStyle w:val="TableBlock"/>
            </w:pPr>
            <w:r>
              <w:rPr>
                <w:rtl/>
              </w:rPr>
              <w:t>הורשע אדם בעבירה לפי סעיף 7, רשאי בית המשפט, נוסף על כל עונש אחר ועל אף האמור בכל דין, להורות בצו על איסור שימוש ברכב שב</w:t>
            </w:r>
            <w:r w:rsidR="00A27859">
              <w:rPr>
                <w:rFonts w:hint="cs"/>
                <w:rtl/>
              </w:rPr>
              <w:t>קשר אליו</w:t>
            </w:r>
            <w:r>
              <w:rPr>
                <w:rtl/>
              </w:rPr>
              <w:t xml:space="preserve"> נעברה העבירה</w:t>
            </w:r>
            <w:r w:rsidR="00A27859"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לתקופה שלא תעלה על  120 ימים; החליט בית המשפט על איסור שימוש ברכב כאמור, יודיע על כך לרשות הרישוי, כהגדרתה בפקודת התעבורה</w:t>
            </w:r>
            <w:r>
              <w:rPr>
                <w:rStyle w:val="a6"/>
                <w:rtl/>
              </w:rPr>
              <w:footnoteReference w:id="3"/>
            </w:r>
            <w:r w:rsidR="00F03785">
              <w:rPr>
                <w:rtl/>
              </w:rPr>
              <w:t>; על סעיף זה יחולו הוראות סעי</w:t>
            </w:r>
            <w:r w:rsidR="00F03785">
              <w:rPr>
                <w:rFonts w:hint="cs"/>
                <w:rtl/>
              </w:rPr>
              <w:t>פים</w:t>
            </w:r>
            <w:r>
              <w:rPr>
                <w:rtl/>
              </w:rPr>
              <w:t xml:space="preserve"> 57ג</w:t>
            </w:r>
            <w:r w:rsidR="00FB0194">
              <w:rPr>
                <w:rFonts w:hint="cs"/>
                <w:rtl/>
              </w:rPr>
              <w:t xml:space="preserve"> עד </w:t>
            </w:r>
            <w:r w:rsidR="00A27859">
              <w:rPr>
                <w:rFonts w:hint="cs"/>
                <w:rtl/>
              </w:rPr>
              <w:t>57ז</w:t>
            </w:r>
            <w:r>
              <w:rPr>
                <w:rtl/>
              </w:rPr>
              <w:t xml:space="preserve"> לפקודת התעבורה, בשינויים המחויבים." 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35607516" w14:textId="77777777" w:rsidR="001B7560" w:rsidRPr="00B2555B" w:rsidRDefault="001B7560" w:rsidP="00B2555B">
      <w:pPr>
        <w:pStyle w:val="Hesber"/>
        <w:rPr>
          <w:rtl/>
        </w:rPr>
      </w:pPr>
      <w:r w:rsidRPr="00B2555B">
        <w:rPr>
          <w:rtl/>
        </w:rPr>
        <w:t>חוק איסור נהיגה ברכב בחוף הים, התשנ"ז–1997 (להלן – החוק), נחקק כחוק נפרד ועצמאי בשל החשיבות הרבה שייחס המחוקק לנושא זה. החוק מגלם ערכים נעלים וביניהם, הגנת הסביבה החופית, שמירת חיי המתרחצים ועידוד השהות בחוף הים.</w:t>
      </w:r>
    </w:p>
    <w:p w14:paraId="50789C57" w14:textId="77777777" w:rsidR="001B7560" w:rsidRPr="00B2555B" w:rsidRDefault="001B7560" w:rsidP="00B2555B">
      <w:pPr>
        <w:pStyle w:val="Hesber"/>
        <w:rPr>
          <w:rtl/>
        </w:rPr>
      </w:pPr>
      <w:r w:rsidRPr="00B2555B">
        <w:rPr>
          <w:rtl/>
        </w:rPr>
        <w:t xml:space="preserve">החוק במתכונתו הנוכחית מאפשר לבית המשפט המרשיע בעבירת איסור הנהיגה בחוף הים להטיל קנס על המורשע ואף לשלול לנהג המורשע את רישיונו לתקופה שלא תעלה על 120 ימים. </w:t>
      </w:r>
    </w:p>
    <w:p w14:paraId="3E129D28" w14:textId="77777777" w:rsidR="001B7560" w:rsidRPr="00B2555B" w:rsidRDefault="001B7560" w:rsidP="00B2555B">
      <w:pPr>
        <w:pStyle w:val="Hesber"/>
        <w:rPr>
          <w:rtl/>
        </w:rPr>
      </w:pPr>
      <w:r w:rsidRPr="00B2555B">
        <w:rPr>
          <w:rtl/>
        </w:rPr>
        <w:t>מוצע להעניק סמכות לבית המשפט המרשיע לאסור על השימוש ברכב שבו בוצעה העבירה לתקופה שלא תעלה על 120 ימים.</w:t>
      </w:r>
    </w:p>
    <w:p w14:paraId="35A7C886" w14:textId="77777777" w:rsidR="00207409" w:rsidRDefault="00207409" w:rsidP="00B2555B">
      <w:pPr>
        <w:pStyle w:val="Hesber"/>
        <w:rPr>
          <w:rtl/>
        </w:rPr>
      </w:pPr>
    </w:p>
    <w:p w14:paraId="0EBB75EB" w14:textId="77777777" w:rsidR="00207409" w:rsidRDefault="00207409" w:rsidP="00B2555B">
      <w:pPr>
        <w:pStyle w:val="Hesber"/>
        <w:rPr>
          <w:rtl/>
        </w:rPr>
      </w:pPr>
    </w:p>
    <w:p w14:paraId="48A76687" w14:textId="77777777" w:rsidR="00207409" w:rsidRDefault="00207409" w:rsidP="00B2555B">
      <w:pPr>
        <w:pStyle w:val="Hesber"/>
        <w:rPr>
          <w:rtl/>
        </w:rPr>
      </w:pPr>
    </w:p>
    <w:p w14:paraId="59152A30" w14:textId="77777777" w:rsidR="00207409" w:rsidRDefault="00207409" w:rsidP="00B2555B">
      <w:pPr>
        <w:pStyle w:val="Hesber"/>
        <w:rPr>
          <w:rtl/>
        </w:rPr>
      </w:pPr>
    </w:p>
    <w:p w14:paraId="6B23E26B" w14:textId="00C488A9" w:rsidR="001B7560" w:rsidRPr="00B2555B" w:rsidRDefault="00207409" w:rsidP="00B2555B">
      <w:pPr>
        <w:pStyle w:val="Hesber"/>
        <w:rPr>
          <w:rtl/>
        </w:rPr>
      </w:pPr>
      <w:r>
        <w:rPr>
          <w:rtl/>
        </w:rPr>
        <w:t xml:space="preserve">תיקון זה נדרש </w:t>
      </w:r>
      <w:r>
        <w:rPr>
          <w:rFonts w:hint="cs"/>
          <w:rtl/>
        </w:rPr>
        <w:t>נוכח</w:t>
      </w:r>
      <w:r w:rsidR="001B7560" w:rsidRPr="00B2555B">
        <w:rPr>
          <w:rtl/>
        </w:rPr>
        <w:t xml:space="preserve"> נתונים של משטרת התנועה והרשות הלאומית למניעת תאונות דרכים, מהם עולה כי במקרים רבים</w:t>
      </w:r>
      <w:r w:rsidR="001B7560" w:rsidRPr="00391DE0">
        <w:rPr>
          <w:rtl/>
        </w:rPr>
        <w:t>, למרות פסילת רישיון הנהיגה</w:t>
      </w:r>
      <w:r w:rsidR="001B7560" w:rsidRPr="00B2555B">
        <w:rPr>
          <w:rtl/>
        </w:rPr>
        <w:t xml:space="preserve">, ממשיכים נהגים שרישיונם נפסל לנהוג, תוך זלזול בוטה בחוק ובחיי אדם. תיקון זה מבטא את ההכרה בחומרתה ובהשלכותיה המזיקות של עבירת הנהיגה בחוף הים. </w:t>
      </w:r>
    </w:p>
    <w:p w14:paraId="7F6961CB" w14:textId="48434D5C" w:rsidR="00E13C27" w:rsidRDefault="001B7560" w:rsidP="00B2555B">
      <w:pPr>
        <w:pStyle w:val="Hesber"/>
        <w:rPr>
          <w:rtl/>
        </w:rPr>
      </w:pPr>
      <w:r w:rsidRPr="00B2555B">
        <w:rPr>
          <w:rFonts w:hint="cs"/>
          <w:rtl/>
        </w:rPr>
        <w:t>הצע</w:t>
      </w:r>
      <w:r w:rsidR="00207409">
        <w:rPr>
          <w:rFonts w:hint="cs"/>
          <w:rtl/>
        </w:rPr>
        <w:t>ות חוק זהות הונחו</w:t>
      </w:r>
      <w:r w:rsidRPr="00B2555B">
        <w:rPr>
          <w:rFonts w:hint="cs"/>
          <w:rtl/>
        </w:rPr>
        <w:t xml:space="preserve"> על שולחן הכנסת התשע-עשרה על ידי חבר הכנסת רונן הופמן וקבוצת חברי הכנסת (</w:t>
      </w:r>
      <w:r w:rsidRPr="00B2555B">
        <w:rPr>
          <w:rtl/>
        </w:rPr>
        <w:t>פ/2218/19</w:t>
      </w:r>
      <w:r w:rsidRPr="00B2555B">
        <w:rPr>
          <w:rFonts w:hint="cs"/>
          <w:rtl/>
        </w:rPr>
        <w:t>) ועל שולחן הכנסת העשרים על ידי חבר הכנסת מיקי לוי (פ/717/20).</w:t>
      </w:r>
    </w:p>
    <w:p w14:paraId="1C321459" w14:textId="77777777" w:rsidR="00207409" w:rsidRDefault="00207409" w:rsidP="00B2555B">
      <w:pPr>
        <w:pStyle w:val="Hesber"/>
        <w:rPr>
          <w:rtl/>
        </w:rPr>
      </w:pPr>
    </w:p>
    <w:p w14:paraId="695FC234" w14:textId="77777777" w:rsidR="00207409" w:rsidRDefault="00207409" w:rsidP="00B2555B">
      <w:pPr>
        <w:pStyle w:val="Hesber"/>
        <w:rPr>
          <w:rtl/>
        </w:rPr>
      </w:pPr>
    </w:p>
    <w:p w14:paraId="19AA3E47" w14:textId="77777777" w:rsidR="00207409" w:rsidRDefault="00207409" w:rsidP="00B2555B">
      <w:pPr>
        <w:pStyle w:val="Hesber"/>
        <w:rPr>
          <w:rtl/>
        </w:rPr>
      </w:pPr>
    </w:p>
    <w:p w14:paraId="4E72D9CA" w14:textId="77777777" w:rsidR="00207409" w:rsidRPr="0022704F" w:rsidRDefault="00207409" w:rsidP="00207409">
      <w:pPr>
        <w:spacing w:before="0" w:line="36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---------------------------------</w:t>
      </w:r>
    </w:p>
    <w:p w14:paraId="2719EBE8" w14:textId="77777777" w:rsidR="00207409" w:rsidRPr="0022704F" w:rsidRDefault="00207409" w:rsidP="00207409">
      <w:pPr>
        <w:spacing w:before="0" w:line="36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הוגשה ליו"ר הכנסת והסגנים</w:t>
      </w:r>
    </w:p>
    <w:p w14:paraId="287BEEBC" w14:textId="77777777" w:rsidR="00207409" w:rsidRPr="0022704F" w:rsidRDefault="00207409" w:rsidP="00207409">
      <w:pPr>
        <w:spacing w:before="0" w:line="36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22704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והונחה על שולחן הכנסת ביום</w:t>
      </w:r>
    </w:p>
    <w:p w14:paraId="358278C4" w14:textId="77777777" w:rsidR="00207409" w:rsidRPr="00935520" w:rsidRDefault="00207409" w:rsidP="00207409">
      <w:pPr>
        <w:spacing w:before="0" w:line="36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כ"ט  בתשרי התשע"ו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–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12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10</w:t>
      </w:r>
      <w:r w:rsidRPr="00935520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15</w:t>
      </w:r>
    </w:p>
    <w:p w14:paraId="1530117C" w14:textId="77777777" w:rsidR="00207409" w:rsidRPr="00B2555B" w:rsidRDefault="00207409" w:rsidP="00B2555B">
      <w:pPr>
        <w:pStyle w:val="Hesber"/>
        <w:rPr>
          <w:rtl/>
        </w:rPr>
      </w:pPr>
    </w:p>
    <w:sectPr w:rsidR="00207409" w:rsidRPr="00B2555B" w:rsidSect="00207409">
      <w:footerReference w:type="even" r:id="rId12"/>
      <w:footerReference w:type="default" r:id="rId13"/>
      <w:pgSz w:w="11907" w:h="16840" w:code="9"/>
      <w:pgMar w:top="1134" w:right="1134" w:bottom="1276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234E8" w14:textId="77777777" w:rsidR="008967DE" w:rsidRDefault="008967DE">
      <w:r>
        <w:separator/>
      </w:r>
    </w:p>
  </w:endnote>
  <w:endnote w:type="continuationSeparator" w:id="0">
    <w:p w14:paraId="0346452B" w14:textId="77777777" w:rsidR="008967DE" w:rsidRDefault="008967DE">
      <w:r>
        <w:continuationSeparator/>
      </w:r>
    </w:p>
  </w:endnote>
  <w:endnote w:type="continuationNotice" w:id="1">
    <w:p w14:paraId="37DC6088" w14:textId="77777777" w:rsidR="008967DE" w:rsidRDefault="008967D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AA65D3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D6369" w14:textId="77777777" w:rsidR="008967DE" w:rsidRDefault="008967DE">
      <w:r>
        <w:separator/>
      </w:r>
    </w:p>
  </w:footnote>
  <w:footnote w:type="continuationSeparator" w:id="0">
    <w:p w14:paraId="241A9EEA" w14:textId="77777777" w:rsidR="008967DE" w:rsidRDefault="008967DE">
      <w:r>
        <w:continuationSeparator/>
      </w:r>
    </w:p>
  </w:footnote>
  <w:footnote w:type="continuationNotice" w:id="1">
    <w:p w14:paraId="7545BB65" w14:textId="77777777" w:rsidR="008967DE" w:rsidRDefault="008967DE"/>
  </w:footnote>
  <w:footnote w:id="2">
    <w:p w14:paraId="4E8D5791" w14:textId="77777777" w:rsidR="001B7560" w:rsidRDefault="001B7560" w:rsidP="001B7560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התשנ"ז, עמ' 84.</w:t>
      </w:r>
    </w:p>
  </w:footnote>
  <w:footnote w:id="3">
    <w:p w14:paraId="1F6522B5" w14:textId="77777777" w:rsidR="001B7560" w:rsidRDefault="001B7560" w:rsidP="001B7560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דיני מדינת ישראל, נוסח חדש 7, עמ' 173.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77C95"/>
    <w:rsid w:val="001A0623"/>
    <w:rsid w:val="001B7560"/>
    <w:rsid w:val="001C23B0"/>
    <w:rsid w:val="001D7AAF"/>
    <w:rsid w:val="00203A7F"/>
    <w:rsid w:val="00207409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1DE0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67DE"/>
    <w:rsid w:val="00897879"/>
    <w:rsid w:val="008A0587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676CF"/>
    <w:rsid w:val="00982412"/>
    <w:rsid w:val="00983A8D"/>
    <w:rsid w:val="009A0DB8"/>
    <w:rsid w:val="009A7257"/>
    <w:rsid w:val="009D6E0A"/>
    <w:rsid w:val="009E1E33"/>
    <w:rsid w:val="00A14672"/>
    <w:rsid w:val="00A20492"/>
    <w:rsid w:val="00A26BD6"/>
    <w:rsid w:val="00A27859"/>
    <w:rsid w:val="00A443CF"/>
    <w:rsid w:val="00A6611D"/>
    <w:rsid w:val="00A82CB7"/>
    <w:rsid w:val="00A942C1"/>
    <w:rsid w:val="00AA2F03"/>
    <w:rsid w:val="00AA65D3"/>
    <w:rsid w:val="00AC36F7"/>
    <w:rsid w:val="00AC63A4"/>
    <w:rsid w:val="00AD239E"/>
    <w:rsid w:val="00B10265"/>
    <w:rsid w:val="00B16A99"/>
    <w:rsid w:val="00B21211"/>
    <w:rsid w:val="00B2555B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7774"/>
    <w:rsid w:val="00D63620"/>
    <w:rsid w:val="00D8410D"/>
    <w:rsid w:val="00D867D7"/>
    <w:rsid w:val="00DB7060"/>
    <w:rsid w:val="00DE3153"/>
    <w:rsid w:val="00E06736"/>
    <w:rsid w:val="00E13C27"/>
    <w:rsid w:val="00E2740D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E3425"/>
    <w:rsid w:val="00EF3A3A"/>
    <w:rsid w:val="00F03785"/>
    <w:rsid w:val="00F628D6"/>
    <w:rsid w:val="00F67051"/>
    <w:rsid w:val="00F86A1E"/>
    <w:rsid w:val="00FA5E88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uiPriority w:val="99"/>
    <w:semiHidden/>
    <w:rsid w:val="001B7560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uiPriority w:val="99"/>
    <w:semiHidden/>
    <w:rsid w:val="001B7560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4E8C23-B77D-4A20-A763-72DDB10C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B86B13-E2A6-4ADB-BD88-E680212C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שוש אזולאי</cp:lastModifiedBy>
  <cp:revision>2</cp:revision>
  <cp:lastPrinted>2015-10-07T07:24:00Z</cp:lastPrinted>
  <dcterms:created xsi:type="dcterms:W3CDTF">2016-01-06T09:59:00Z</dcterms:created>
  <dcterms:modified xsi:type="dcterms:W3CDTF">2016-01-06T09:59:00Z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568299</vt:r8>
  </property>
</Properties>
</file>