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570069</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נאוה בוקר</w:t>
      </w:r>
      <w:r>
        <w:br/>
      </w:r>
      <w:r>
        <w:rPr>
          <w:rFonts w:hint="cs"/>
          <w:b/>
          <w:bCs/>
          <w:rtl/>
        </w:rPr>
        <w:t xml:space="preserve"> </w:t>
      </w:r>
      <w:r>
        <w:tab/>
      </w:r>
      <w:r>
        <w:tab/>
      </w:r>
      <w:r>
        <w:tab/>
      </w:r>
      <w:r>
        <w:tab/>
      </w:r>
      <w:r>
        <w:rPr>
          <w:rFonts w:hint="cs"/>
          <w:b/>
          <w:bCs/>
          <w:rtl/>
        </w:rPr>
        <w:t>יוסי יונה</w:t>
      </w:r>
      <w:bookmarkEnd w:id="3"/>
    </w:p>
    <w:p w14:paraId="7F6961AA" w14:textId="39F9D96B" w:rsidR="00E13C27" w:rsidRPr="00CF1AA2" w:rsidRDefault="007D585A" w:rsidP="0036422C">
      <w:pPr>
        <w:pStyle w:val="David"/>
        <w:spacing w:before="0" w:line="360" w:lineRule="auto"/>
        <w:ind w:left="3544"/>
        <w:rPr>
          <w:b/>
          <w:bCs/>
          <w:sz w:val="16"/>
          <w:szCs w:val="16"/>
          <w:rtl/>
        </w:rPr>
      </w:pPr>
      <w:bookmarkStart w:id="4" w:name="LGS_Join_List"/>
      <w:r>
        <w:rPr>
          <w:rtl/>
        </w:rPr>
        <w:t>______________________________________________</w:t>
      </w:r>
      <w:r>
        <w:br/>
      </w:r>
      <w:r>
        <w:rPr>
          <w:rtl/>
        </w:rPr>
        <w:t>מצטרף:      חבר הכנסת</w:t>
      </w:r>
      <w:bookmarkEnd w:id="4"/>
      <w:r w:rsidR="002200A1" w:rsidRPr="00CF1AA2">
        <w:rPr>
          <w:rFonts w:hint="cs"/>
          <w:rtl/>
        </w:rPr>
        <w:tab/>
      </w:r>
      <w:bookmarkStart w:id="5" w:name="LGS_PM_NamesJoin"/>
      <w:r>
        <w:rPr>
          <w:rFonts w:hint="cs"/>
          <w:rtl/>
        </w:rPr>
        <w:t>יואב קיש</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C" w14:textId="72EEB24C" w:rsidR="00E13C27" w:rsidRDefault="00904591" w:rsidP="00F24248">
      <w:pPr>
        <w:pStyle w:val="David"/>
        <w:spacing w:before="0" w:line="240" w:lineRule="auto"/>
        <w:ind w:left="3544"/>
        <w:rPr>
          <w:rtl/>
        </w:rPr>
      </w:pPr>
      <w:r>
        <w:t xml:space="preserve">                                            </w:t>
      </w:r>
      <w:r w:rsidR="008F1308">
        <w:t xml:space="preserve"> </w:t>
      </w:r>
      <w:r w:rsidR="00097085">
        <w:rPr>
          <w:rFonts w:hint="cs"/>
          <w:rtl/>
        </w:rPr>
        <w:t>פ/2230/20</w:t>
      </w:r>
      <w:bookmarkStart w:id="6" w:name="_GoBack"/>
      <w:bookmarkEnd w:id="6"/>
    </w:p>
    <w:p w14:paraId="7F6961AE" w14:textId="72B24707" w:rsidR="00E13C27" w:rsidRDefault="00A443CF" w:rsidP="00F24248">
      <w:pPr>
        <w:pStyle w:val="HeadHatzaotHok"/>
        <w:rPr>
          <w:rtl/>
        </w:rPr>
      </w:pPr>
      <w:bookmarkStart w:id="7" w:name="LGS_Subject"/>
      <w:r>
        <w:rPr>
          <w:rFonts w:hint="cs"/>
          <w:rtl/>
        </w:rPr>
        <w:t>הצעת חוק לתיקון פקודת מסי העיריה ומסי הממשלה (פטורין) (פטור מארנונה לארכיון ציבורי), התשע"ו</w:t>
      </w:r>
      <w:r w:rsidR="00F24248">
        <w:rPr>
          <w:rFonts w:hint="eastAsia"/>
          <w:rtl/>
        </w:rPr>
        <w:t>–</w:t>
      </w:r>
      <w:r>
        <w:rPr>
          <w:rFonts w:hint="cs"/>
          <w:rtl/>
        </w:rPr>
        <w:t>2015</w:t>
      </w:r>
      <w:bookmarkEnd w:id="7"/>
    </w:p>
    <w:tbl>
      <w:tblPr>
        <w:bidiVisual/>
        <w:tblW w:w="9641" w:type="dxa"/>
        <w:tblInd w:w="6" w:type="dxa"/>
        <w:tblLayout w:type="fixed"/>
        <w:tblCellMar>
          <w:top w:w="57" w:type="dxa"/>
          <w:left w:w="0" w:type="dxa"/>
          <w:bottom w:w="57" w:type="dxa"/>
          <w:right w:w="0" w:type="dxa"/>
        </w:tblCellMar>
        <w:tblLook w:val="0000" w:firstRow="0" w:lastRow="0" w:firstColumn="0" w:lastColumn="0" w:noHBand="0" w:noVBand="0"/>
      </w:tblPr>
      <w:tblGrid>
        <w:gridCol w:w="1871"/>
        <w:gridCol w:w="624"/>
        <w:gridCol w:w="7146"/>
      </w:tblGrid>
      <w:tr w:rsidR="008D7B0A" w14:paraId="72746CEA" w14:textId="77777777" w:rsidTr="00F24248">
        <w:trPr>
          <w:cantSplit/>
        </w:trPr>
        <w:tc>
          <w:tcPr>
            <w:tcW w:w="1871" w:type="dxa"/>
            <w:tcBorders>
              <w:top w:val="nil"/>
              <w:left w:val="nil"/>
              <w:bottom w:val="nil"/>
              <w:right w:val="nil"/>
            </w:tcBorders>
          </w:tcPr>
          <w:p w14:paraId="01172C50" w14:textId="02C4CCD3" w:rsidR="008D7B0A" w:rsidRDefault="008D7B0A" w:rsidP="00FB56E7">
            <w:pPr>
              <w:pStyle w:val="TableSideHeading"/>
              <w:ind w:right="0"/>
              <w:rPr>
                <w:sz w:val="26"/>
                <w:rtl/>
              </w:rPr>
            </w:pPr>
            <w:r>
              <w:rPr>
                <w:sz w:val="26"/>
                <w:rtl/>
              </w:rPr>
              <w:t>תיקון סעיף 5ג</w:t>
            </w:r>
          </w:p>
        </w:tc>
        <w:tc>
          <w:tcPr>
            <w:tcW w:w="624" w:type="dxa"/>
            <w:tcBorders>
              <w:top w:val="nil"/>
              <w:left w:val="nil"/>
              <w:bottom w:val="nil"/>
              <w:right w:val="nil"/>
            </w:tcBorders>
          </w:tcPr>
          <w:p w14:paraId="710B9EAD" w14:textId="3BFA0CAB" w:rsidR="008D7B0A" w:rsidRDefault="008D7B0A" w:rsidP="00FB56E7">
            <w:pPr>
              <w:pStyle w:val="TableText"/>
              <w:ind w:right="0"/>
              <w:jc w:val="both"/>
              <w:rPr>
                <w:sz w:val="26"/>
                <w:rtl/>
              </w:rPr>
            </w:pPr>
            <w:r>
              <w:rPr>
                <w:sz w:val="26"/>
                <w:rtl/>
              </w:rPr>
              <w:t>1.</w:t>
            </w:r>
          </w:p>
        </w:tc>
        <w:tc>
          <w:tcPr>
            <w:tcW w:w="7146" w:type="dxa"/>
            <w:tcBorders>
              <w:top w:val="nil"/>
              <w:left w:val="nil"/>
              <w:bottom w:val="nil"/>
              <w:right w:val="nil"/>
            </w:tcBorders>
          </w:tcPr>
          <w:p w14:paraId="65D333BB" w14:textId="2A52738C" w:rsidR="008D7B0A" w:rsidRDefault="008D7B0A" w:rsidP="00F15F51">
            <w:pPr>
              <w:pStyle w:val="TableBlock"/>
              <w:rPr>
                <w:sz w:val="26"/>
                <w:rtl/>
              </w:rPr>
            </w:pPr>
            <w:r>
              <w:rPr>
                <w:sz w:val="26"/>
                <w:rtl/>
              </w:rPr>
              <w:t>בפקודת מסי העיריה ומסי הממשלה (פטורין), 1938</w:t>
            </w:r>
            <w:r>
              <w:rPr>
                <w:rStyle w:val="a6"/>
                <w:sz w:val="26"/>
                <w:rtl/>
              </w:rPr>
              <w:footnoteReference w:id="2"/>
            </w:r>
            <w:r>
              <w:rPr>
                <w:sz w:val="26"/>
                <w:rtl/>
              </w:rPr>
              <w:t xml:space="preserve">, בסעיף 5ג(ה), </w:t>
            </w:r>
            <w:r w:rsidR="00C275D3">
              <w:rPr>
                <w:rFonts w:hint="cs"/>
                <w:sz w:val="26"/>
                <w:rtl/>
              </w:rPr>
              <w:t>אחרי פסקה (11)</w:t>
            </w:r>
            <w:r w:rsidR="00F15F51">
              <w:rPr>
                <w:sz w:val="26"/>
                <w:rtl/>
              </w:rPr>
              <w:t xml:space="preserve"> </w:t>
            </w:r>
            <w:r>
              <w:rPr>
                <w:sz w:val="26"/>
                <w:rtl/>
              </w:rPr>
              <w:t>יבוא:</w:t>
            </w:r>
          </w:p>
        </w:tc>
      </w:tr>
      <w:tr w:rsidR="008D7B0A" w14:paraId="51FDBC7A" w14:textId="77777777" w:rsidTr="00F24248">
        <w:trPr>
          <w:cantSplit/>
        </w:trPr>
        <w:tc>
          <w:tcPr>
            <w:tcW w:w="1871" w:type="dxa"/>
            <w:tcBorders>
              <w:top w:val="nil"/>
              <w:left w:val="nil"/>
              <w:bottom w:val="nil"/>
              <w:right w:val="nil"/>
            </w:tcBorders>
          </w:tcPr>
          <w:p w14:paraId="778340FE" w14:textId="77777777" w:rsidR="008D7B0A" w:rsidRDefault="008D7B0A" w:rsidP="00FB56E7">
            <w:pPr>
              <w:pStyle w:val="TableSideHeading"/>
              <w:rPr>
                <w:sz w:val="26"/>
                <w:rtl/>
              </w:rPr>
            </w:pPr>
          </w:p>
        </w:tc>
        <w:tc>
          <w:tcPr>
            <w:tcW w:w="624" w:type="dxa"/>
            <w:tcBorders>
              <w:top w:val="nil"/>
              <w:left w:val="nil"/>
              <w:bottom w:val="nil"/>
              <w:right w:val="nil"/>
            </w:tcBorders>
          </w:tcPr>
          <w:p w14:paraId="01615760" w14:textId="77777777" w:rsidR="008D7B0A" w:rsidRDefault="008D7B0A" w:rsidP="00FB56E7">
            <w:pPr>
              <w:pStyle w:val="TableText"/>
              <w:rPr>
                <w:sz w:val="26"/>
                <w:rtl/>
              </w:rPr>
            </w:pPr>
          </w:p>
        </w:tc>
        <w:tc>
          <w:tcPr>
            <w:tcW w:w="7146" w:type="dxa"/>
            <w:tcBorders>
              <w:top w:val="nil"/>
              <w:left w:val="nil"/>
              <w:bottom w:val="nil"/>
              <w:right w:val="nil"/>
            </w:tcBorders>
          </w:tcPr>
          <w:p w14:paraId="0E619E2C" w14:textId="734BF521" w:rsidR="008D7B0A" w:rsidRDefault="008D7B0A" w:rsidP="00FB56E7">
            <w:pPr>
              <w:pStyle w:val="TableBlock"/>
              <w:rPr>
                <w:sz w:val="26"/>
                <w:rtl/>
              </w:rPr>
            </w:pPr>
            <w:r>
              <w:rPr>
                <w:sz w:val="26"/>
                <w:rtl/>
              </w:rPr>
              <w:t>"(12)</w:t>
            </w:r>
            <w:r>
              <w:rPr>
                <w:sz w:val="26"/>
                <w:rtl/>
              </w:rPr>
              <w:tab/>
              <w:t xml:space="preserve"> ארכיון ציבורי כהגדרתו ב</w:t>
            </w:r>
            <w:r w:rsidRPr="001876C8">
              <w:rPr>
                <w:sz w:val="26"/>
                <w:rtl/>
              </w:rPr>
              <w:t>חוק הארכיונים</w:t>
            </w:r>
            <w:r>
              <w:rPr>
                <w:sz w:val="26"/>
                <w:rtl/>
              </w:rPr>
              <w:t>,</w:t>
            </w:r>
            <w:r w:rsidRPr="001876C8">
              <w:rPr>
                <w:sz w:val="26"/>
                <w:rtl/>
              </w:rPr>
              <w:t xml:space="preserve"> </w:t>
            </w:r>
            <w:r>
              <w:rPr>
                <w:sz w:val="26"/>
                <w:rtl/>
              </w:rPr>
              <w:t>ה</w:t>
            </w:r>
            <w:r w:rsidRPr="001876C8">
              <w:rPr>
                <w:sz w:val="26"/>
                <w:rtl/>
              </w:rPr>
              <w:t>תשט"ו</w:t>
            </w:r>
            <w:r>
              <w:rPr>
                <w:sz w:val="26"/>
                <w:rtl/>
              </w:rPr>
              <w:t>–</w:t>
            </w:r>
            <w:r w:rsidRPr="001876C8">
              <w:rPr>
                <w:sz w:val="26"/>
                <w:rtl/>
              </w:rPr>
              <w:t>1955</w:t>
            </w:r>
            <w:r>
              <w:rPr>
                <w:rStyle w:val="a6"/>
                <w:sz w:val="26"/>
                <w:rtl/>
              </w:rPr>
              <w:footnoteReference w:id="3"/>
            </w:r>
            <w:r>
              <w:rPr>
                <w:sz w:val="26"/>
                <w:rtl/>
              </w:rPr>
              <w:t>."</w:t>
            </w:r>
          </w:p>
        </w:tc>
      </w:tr>
    </w:tbl>
    <w:p w14:paraId="7F6961CA" w14:textId="77777777" w:rsidR="002D1EE3" w:rsidRDefault="002D1EE3" w:rsidP="002D1EE3">
      <w:pPr>
        <w:pStyle w:val="HeadDivreiHesber"/>
        <w:rPr>
          <w:rtl/>
        </w:rPr>
      </w:pPr>
      <w:r w:rsidRPr="0027450A">
        <w:rPr>
          <w:rFonts w:hint="cs"/>
          <w:rtl/>
        </w:rPr>
        <w:t>דברי הסבר</w:t>
      </w:r>
    </w:p>
    <w:p w14:paraId="108CCFDC" w14:textId="77777777" w:rsidR="008D7B0A" w:rsidRPr="00C348A4" w:rsidRDefault="008D7B0A" w:rsidP="008D7B0A">
      <w:pPr>
        <w:pStyle w:val="Hesber"/>
        <w:rPr>
          <w:rtl/>
        </w:rPr>
      </w:pPr>
      <w:r w:rsidRPr="00C348A4">
        <w:rPr>
          <w:rtl/>
        </w:rPr>
        <w:t>פקודת מסי העיריה ומסי הממשלה (פטורין), 1938 (להלן – הפקודה)</w:t>
      </w:r>
      <w:r>
        <w:rPr>
          <w:rtl/>
        </w:rPr>
        <w:t>,</w:t>
      </w:r>
      <w:r w:rsidRPr="00C348A4">
        <w:rPr>
          <w:rtl/>
        </w:rPr>
        <w:t xml:space="preserve"> קובעת בסעיף 5ג(ה) רשימה של נכסים הפטורים מארנונה כללית או מאגרה, ובכלל זה כנסיה, מסגד או בית תפילה אחר, בית כנסת, מקווה, בית קברות, מוסד חינוך מוכר, מעון יום, מקלט לנשים מוכות, מעון לילדים ולנערות בסיכון ובמצוקה, מבנה המוחזק בידי תנועת נוער, מדרשה תורנית ציונית ליהדות וללימודי ארץ ישראל, מפעל מוגן, מסגרת יומית שעיקר ייעודה מתן שירות שיקום בתחום התעסוקה לנכי נפש ומסגרת יומית שעיקר ייעודה מתן אבחון, שיקום, טיפול או הכשרה לאנשים עם מוגבלויות. במסגרת פטורים אלה לא נכללו ארכיונים ציבוריים מוכרים.</w:t>
      </w:r>
    </w:p>
    <w:p w14:paraId="050EE2BF" w14:textId="38277F87" w:rsidR="008D7B0A" w:rsidRPr="00C348A4" w:rsidRDefault="008D7B0A" w:rsidP="008D7B0A">
      <w:pPr>
        <w:pStyle w:val="Hesber"/>
        <w:rPr>
          <w:rtl/>
        </w:rPr>
      </w:pPr>
      <w:r w:rsidRPr="00C348A4">
        <w:rPr>
          <w:rtl/>
        </w:rPr>
        <w:t>בישראל קיימים ופועלים כיום 18 ארכיונים ציבוריים אשר קיבלו הכרה בהתאם להוראות חוק הארכיונים, התשט"ו–1955 ותקנות הארכיונים (תנאים לאישור ארכיונים ציבוריים והסדרים לניהולם), התשי"ח–1957. מרבית הארכיונים הציבוריים המוכרים פועלים תחת מוסדות הפטורים מתשלום ארנונה, כך לדוגמא: גנזך</w:t>
      </w:r>
      <w:r w:rsidRPr="00C348A4">
        <w:t> </w:t>
      </w:r>
      <w:r w:rsidRPr="00C348A4">
        <w:rPr>
          <w:rtl/>
        </w:rPr>
        <w:t xml:space="preserve">ויצמן, ארכיון מפלגת העבודה וכדומה. </w:t>
      </w:r>
      <w:r w:rsidR="00C275D3">
        <w:rPr>
          <w:rFonts w:hint="cs"/>
          <w:rtl/>
        </w:rPr>
        <w:t>ו</w:t>
      </w:r>
      <w:r w:rsidRPr="00C348A4">
        <w:rPr>
          <w:rtl/>
        </w:rPr>
        <w:t xml:space="preserve">אולם, קיימים ארכיונים בודדים, כמו מכון ז'בוטינסקי ויד טבנקין, אשר פועלים באופן עצמאי, ואינם נהנים מפטור דומה. </w:t>
      </w:r>
    </w:p>
    <w:p w14:paraId="271D793A" w14:textId="77777777" w:rsidR="008D7B0A" w:rsidRPr="00C348A4" w:rsidRDefault="008D7B0A" w:rsidP="008D7B0A">
      <w:pPr>
        <w:pStyle w:val="Hesber"/>
        <w:rPr>
          <w:rtl/>
        </w:rPr>
      </w:pPr>
      <w:r w:rsidRPr="00C348A4">
        <w:rPr>
          <w:rtl/>
        </w:rPr>
        <w:t xml:space="preserve">יחדיו, אוצרים הארכיונים הציבוריים המוכרים את המסד ההיסטורי והתרבותי </w:t>
      </w:r>
      <w:r>
        <w:rPr>
          <w:rtl/>
        </w:rPr>
        <w:t>של</w:t>
      </w:r>
      <w:r w:rsidRPr="00C348A4">
        <w:rPr>
          <w:rtl/>
        </w:rPr>
        <w:t xml:space="preserve"> מדינת ישראל, והם כוללים חומרים נדירים וייחודיים בהיקף משמעותי, ומשמשים הן חוקרים בארץ ובעולם והן את הציבור הרחב באופן שוטף.</w:t>
      </w:r>
    </w:p>
    <w:p w14:paraId="30C0769F" w14:textId="77777777" w:rsidR="008D7B0A" w:rsidRPr="00C348A4" w:rsidRDefault="008D7B0A" w:rsidP="008D7B0A">
      <w:pPr>
        <w:pStyle w:val="Hesber"/>
        <w:rPr>
          <w:rtl/>
        </w:rPr>
      </w:pPr>
      <w:r w:rsidRPr="00C348A4">
        <w:rPr>
          <w:rtl/>
        </w:rPr>
        <w:lastRenderedPageBreak/>
        <w:t xml:space="preserve">הפעלתו של ארכיון, לא כל שכן ארכיון ציבורי מוכר, כרוכה במאמצים רבים ובהוצאות ניכרות, בין היתר הואיל והחוק והתקנות מחייבים את הארכיון לעמוד באמות מידה ברורות וקפדניות. כך למשל, מחויב ארכיון ציבורי בפתיחת שעריו לציבור הרחב לצורך עיון ושימוש בחומר הארכיוני המופקד בו, וזאת בהתאם לתנאים שנקבעו לשם כך בתקנות; עליו להבטיח את השמירה על החומר הארכיוני המופקד בו מפני אש, גניבה, לחות ומזיקים אחרים בהתאם להוראות שנקבעו לשם כך; כמו כן מחויב ארכיון ציבורי בניהול רישום מסודר בדבר החומר הארכיוני המופקד בו, ועליו לדווח מדי שנה לגנזך המדינה בדבר אותו החומר. </w:t>
      </w:r>
    </w:p>
    <w:p w14:paraId="62936F5A" w14:textId="77777777" w:rsidR="008D7B0A" w:rsidRDefault="008D7B0A" w:rsidP="008D7B0A">
      <w:pPr>
        <w:pStyle w:val="Hesber"/>
        <w:rPr>
          <w:rtl/>
        </w:rPr>
      </w:pPr>
      <w:r>
        <w:rPr>
          <w:rtl/>
        </w:rPr>
        <w:t>כך נאלצים אותם ארכיונ</w:t>
      </w:r>
      <w:r w:rsidRPr="00C348A4">
        <w:rPr>
          <w:rtl/>
        </w:rPr>
        <w:t>ים לפנות מדי תקופה בבקשות למתן פטורים מארנונה, אשר לעתים נענות באיחור או באופן חלקי בלבד</w:t>
      </w:r>
      <w:r>
        <w:rPr>
          <w:rtl/>
        </w:rPr>
        <w:t>, דבר המכביד על פעילות הארכיון.</w:t>
      </w:r>
      <w:r w:rsidRPr="0002053F">
        <w:rPr>
          <w:rtl/>
        </w:rPr>
        <w:t xml:space="preserve"> </w:t>
      </w:r>
      <w:r>
        <w:rPr>
          <w:rtl/>
        </w:rPr>
        <w:t>על מנת</w:t>
      </w:r>
      <w:r w:rsidRPr="00C348A4">
        <w:rPr>
          <w:rtl/>
        </w:rPr>
        <w:t xml:space="preserve"> לסייע לארכיונים הציבוריים המוכרים בישראל לעמוד במחויבויות המוטלות עליהם </w:t>
      </w:r>
      <w:r>
        <w:rPr>
          <w:rtl/>
        </w:rPr>
        <w:t>ו</w:t>
      </w:r>
      <w:r w:rsidRPr="00C348A4">
        <w:rPr>
          <w:rtl/>
        </w:rPr>
        <w:t>לאפשר להם להפנות את משאביהם לצורך ייעודם, מוצע בהצעת החוק להוסיף לרשימת הנכסים הפטורים מארנונה גם את הארכיונים הציבוריים המוכרים בישראל.</w:t>
      </w:r>
    </w:p>
    <w:p w14:paraId="426C9A1E" w14:textId="6C897129" w:rsidR="00F15F51" w:rsidRDefault="00F15F51" w:rsidP="00F15F51">
      <w:pPr>
        <w:pStyle w:val="Hesber"/>
        <w:rPr>
          <w:rtl/>
        </w:rPr>
      </w:pPr>
      <w:r>
        <w:rPr>
          <w:rFonts w:hint="cs"/>
          <w:rtl/>
        </w:rPr>
        <w:t>הצעת חוק זהה הונחה על שולחן הכנסת התשע-עשרה על ידי חבר הכנסת יריב לוין (פ/2079/19).</w:t>
      </w:r>
    </w:p>
    <w:p w14:paraId="45045066" w14:textId="6D1159FA" w:rsidR="00C275D3" w:rsidRDefault="00C275D3" w:rsidP="00F15F51">
      <w:pPr>
        <w:pStyle w:val="Hesber"/>
        <w:rPr>
          <w:rtl/>
        </w:rPr>
      </w:pPr>
    </w:p>
    <w:p w14:paraId="5AD9B569" w14:textId="77777777" w:rsidR="00C275D3" w:rsidRDefault="00C275D3" w:rsidP="00F15F51">
      <w:pPr>
        <w:pStyle w:val="Hesber"/>
        <w:rPr>
          <w:rtl/>
        </w:rPr>
      </w:pPr>
    </w:p>
    <w:p w14:paraId="08AA30FA" w14:textId="77777777" w:rsidR="00C275D3" w:rsidRDefault="00C275D3" w:rsidP="00F15F51">
      <w:pPr>
        <w:pStyle w:val="Hesber"/>
        <w:rPr>
          <w:rtl/>
        </w:rPr>
      </w:pPr>
    </w:p>
    <w:p w14:paraId="410A51DB" w14:textId="77777777" w:rsidR="00C275D3" w:rsidRPr="0022704F" w:rsidRDefault="00C275D3" w:rsidP="00C275D3">
      <w:pPr>
        <w:spacing w:before="0" w:line="360" w:lineRule="auto"/>
        <w:ind w:left="340" w:firstLine="0"/>
        <w:rPr>
          <w:rFonts w:ascii="Arial" w:eastAsia="Arial Unicode MS" w:hAnsi="Arial" w:cs="David"/>
          <w:snapToGrid w:val="0"/>
          <w:spacing w:val="0"/>
          <w:sz w:val="20"/>
          <w:szCs w:val="26"/>
          <w:rtl/>
        </w:rPr>
      </w:pPr>
      <w:r w:rsidRPr="0022704F">
        <w:rPr>
          <w:rFonts w:ascii="Arial" w:eastAsia="Arial Unicode MS" w:hAnsi="Arial" w:cs="David"/>
          <w:snapToGrid w:val="0"/>
          <w:spacing w:val="0"/>
          <w:sz w:val="20"/>
          <w:szCs w:val="26"/>
          <w:rtl/>
        </w:rPr>
        <w:t>---------------------------------</w:t>
      </w:r>
    </w:p>
    <w:p w14:paraId="43F31E18" w14:textId="77777777" w:rsidR="00C275D3" w:rsidRPr="0022704F" w:rsidRDefault="00C275D3" w:rsidP="00C275D3">
      <w:pPr>
        <w:spacing w:before="0" w:line="360" w:lineRule="auto"/>
        <w:ind w:left="340" w:firstLine="0"/>
        <w:rPr>
          <w:rFonts w:ascii="Arial" w:eastAsia="Arial Unicode MS" w:hAnsi="Arial" w:cs="David"/>
          <w:snapToGrid w:val="0"/>
          <w:spacing w:val="0"/>
          <w:sz w:val="20"/>
          <w:szCs w:val="26"/>
          <w:rtl/>
        </w:rPr>
      </w:pPr>
      <w:r w:rsidRPr="0022704F">
        <w:rPr>
          <w:rFonts w:ascii="Arial" w:eastAsia="Arial Unicode MS" w:hAnsi="Arial" w:cs="David"/>
          <w:snapToGrid w:val="0"/>
          <w:spacing w:val="0"/>
          <w:sz w:val="20"/>
          <w:szCs w:val="26"/>
          <w:rtl/>
        </w:rPr>
        <w:t>הוגשה ליו"ר הכנסת והסגנים</w:t>
      </w:r>
    </w:p>
    <w:p w14:paraId="60D648E5" w14:textId="77777777" w:rsidR="00C275D3" w:rsidRPr="0022704F" w:rsidRDefault="00C275D3" w:rsidP="00C275D3">
      <w:pPr>
        <w:spacing w:before="0" w:line="360" w:lineRule="auto"/>
        <w:ind w:left="340" w:firstLine="0"/>
        <w:rPr>
          <w:rFonts w:ascii="Arial" w:eastAsia="Arial Unicode MS" w:hAnsi="Arial" w:cs="David"/>
          <w:snapToGrid w:val="0"/>
          <w:spacing w:val="0"/>
          <w:sz w:val="20"/>
          <w:szCs w:val="26"/>
          <w:rtl/>
        </w:rPr>
      </w:pPr>
      <w:r w:rsidRPr="0022704F">
        <w:rPr>
          <w:rFonts w:ascii="Arial" w:eastAsia="Arial Unicode MS" w:hAnsi="Arial" w:cs="David"/>
          <w:snapToGrid w:val="0"/>
          <w:spacing w:val="0"/>
          <w:sz w:val="20"/>
          <w:szCs w:val="26"/>
          <w:rtl/>
        </w:rPr>
        <w:t>והונחה על שולחן הכנסת ביום</w:t>
      </w:r>
    </w:p>
    <w:p w14:paraId="17B772A7" w14:textId="77777777" w:rsidR="00C275D3" w:rsidRPr="00935520" w:rsidRDefault="00C275D3" w:rsidP="00C275D3">
      <w:pPr>
        <w:spacing w:before="0" w:line="360" w:lineRule="auto"/>
        <w:ind w:left="340" w:firstLine="0"/>
        <w:rPr>
          <w:rFonts w:ascii="Arial" w:eastAsia="Arial Unicode MS" w:hAnsi="Arial" w:cs="David"/>
          <w:snapToGrid w:val="0"/>
          <w:spacing w:val="0"/>
          <w:sz w:val="20"/>
          <w:szCs w:val="26"/>
        </w:rPr>
      </w:pPr>
      <w:r>
        <w:rPr>
          <w:rFonts w:ascii="Arial" w:eastAsia="Arial Unicode MS" w:hAnsi="Arial" w:cs="David" w:hint="cs"/>
          <w:snapToGrid w:val="0"/>
          <w:spacing w:val="0"/>
          <w:sz w:val="20"/>
          <w:szCs w:val="26"/>
          <w:rtl/>
        </w:rPr>
        <w:t>י"א בכסלו התשע"ו</w:t>
      </w:r>
      <w:r w:rsidRPr="00935520">
        <w:rPr>
          <w:rFonts w:ascii="Arial" w:eastAsia="Arial Unicode MS" w:hAnsi="Arial" w:cs="David" w:hint="cs"/>
          <w:snapToGrid w:val="0"/>
          <w:spacing w:val="0"/>
          <w:sz w:val="20"/>
          <w:szCs w:val="26"/>
          <w:rtl/>
        </w:rPr>
        <w:t xml:space="preserve"> – </w:t>
      </w:r>
      <w:r>
        <w:rPr>
          <w:rFonts w:ascii="Arial" w:eastAsia="Arial Unicode MS" w:hAnsi="Arial" w:cs="David" w:hint="cs"/>
          <w:snapToGrid w:val="0"/>
          <w:spacing w:val="0"/>
          <w:sz w:val="20"/>
          <w:szCs w:val="26"/>
          <w:rtl/>
        </w:rPr>
        <w:t>23</w:t>
      </w:r>
      <w:r w:rsidRPr="00935520">
        <w:rPr>
          <w:rFonts w:ascii="Arial" w:eastAsia="Arial Unicode MS" w:hAnsi="Arial" w:cs="David" w:hint="cs"/>
          <w:snapToGrid w:val="0"/>
          <w:spacing w:val="0"/>
          <w:sz w:val="20"/>
          <w:szCs w:val="26"/>
          <w:rtl/>
        </w:rPr>
        <w:t>.</w:t>
      </w:r>
      <w:r>
        <w:rPr>
          <w:rFonts w:ascii="Arial" w:eastAsia="Arial Unicode MS" w:hAnsi="Arial" w:cs="David" w:hint="cs"/>
          <w:snapToGrid w:val="0"/>
          <w:spacing w:val="0"/>
          <w:sz w:val="20"/>
          <w:szCs w:val="26"/>
          <w:rtl/>
        </w:rPr>
        <w:t>11</w:t>
      </w:r>
      <w:r w:rsidRPr="00935520">
        <w:rPr>
          <w:rFonts w:ascii="Arial" w:eastAsia="Arial Unicode MS" w:hAnsi="Arial" w:cs="David" w:hint="cs"/>
          <w:snapToGrid w:val="0"/>
          <w:spacing w:val="0"/>
          <w:sz w:val="20"/>
          <w:szCs w:val="26"/>
          <w:rtl/>
        </w:rPr>
        <w:t>.</w:t>
      </w:r>
      <w:r>
        <w:rPr>
          <w:rFonts w:ascii="Arial" w:eastAsia="Arial Unicode MS" w:hAnsi="Arial" w:cs="David" w:hint="cs"/>
          <w:snapToGrid w:val="0"/>
          <w:spacing w:val="0"/>
          <w:sz w:val="20"/>
          <w:szCs w:val="26"/>
          <w:rtl/>
        </w:rPr>
        <w:t>15</w:t>
      </w:r>
    </w:p>
    <w:p w14:paraId="7F6961CB" w14:textId="77777777" w:rsidR="00E13C27" w:rsidRPr="00C275D3" w:rsidRDefault="00E13C27" w:rsidP="00E13C27">
      <w:pPr>
        <w:pStyle w:val="Hesber"/>
        <w:rPr>
          <w:rtl/>
        </w:rPr>
      </w:pPr>
    </w:p>
    <w:sectPr w:rsidR="00E13C27" w:rsidRPr="00C275D3"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097085">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0E346608" w14:textId="77777777" w:rsidR="008D7B0A" w:rsidRDefault="008D7B0A" w:rsidP="008D7B0A">
      <w:pPr>
        <w:pStyle w:val="a4"/>
      </w:pPr>
      <w:r>
        <w:rPr>
          <w:rStyle w:val="a6"/>
        </w:rPr>
        <w:footnoteRef/>
      </w:r>
      <w:r>
        <w:rPr>
          <w:sz w:val="20"/>
          <w:rtl/>
        </w:rPr>
        <w:t xml:space="preserve"> ע"ר 1938, תוס' 1, עמ' (ע) 27, (א) 31.</w:t>
      </w:r>
    </w:p>
  </w:footnote>
  <w:footnote w:id="3">
    <w:p w14:paraId="0B3B0AA4" w14:textId="77777777" w:rsidR="008D7B0A" w:rsidRDefault="008D7B0A" w:rsidP="008D7B0A">
      <w:pPr>
        <w:pStyle w:val="a4"/>
      </w:pPr>
      <w:r>
        <w:rPr>
          <w:rStyle w:val="a6"/>
        </w:rPr>
        <w:footnoteRef/>
      </w:r>
      <w:r>
        <w:rPr>
          <w:rtl/>
        </w:rPr>
        <w:t xml:space="preserve"> ס"ח התשט"ו, עמ'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97085"/>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70601E"/>
    <w:rsid w:val="00712C72"/>
    <w:rsid w:val="00735FE9"/>
    <w:rsid w:val="00763CAA"/>
    <w:rsid w:val="00765F66"/>
    <w:rsid w:val="0078664F"/>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D7B0A"/>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275D3"/>
    <w:rsid w:val="00C310EB"/>
    <w:rsid w:val="00C9176A"/>
    <w:rsid w:val="00CF1AA2"/>
    <w:rsid w:val="00D17774"/>
    <w:rsid w:val="00D63620"/>
    <w:rsid w:val="00D8410D"/>
    <w:rsid w:val="00D867D7"/>
    <w:rsid w:val="00DB7060"/>
    <w:rsid w:val="00DE3153"/>
    <w:rsid w:val="00E06736"/>
    <w:rsid w:val="00E13C27"/>
    <w:rsid w:val="00E33BBD"/>
    <w:rsid w:val="00E374F2"/>
    <w:rsid w:val="00E45103"/>
    <w:rsid w:val="00E55A60"/>
    <w:rsid w:val="00E62778"/>
    <w:rsid w:val="00E63D38"/>
    <w:rsid w:val="00E665B9"/>
    <w:rsid w:val="00EA01E6"/>
    <w:rsid w:val="00EA3DE8"/>
    <w:rsid w:val="00EA758F"/>
    <w:rsid w:val="00ED4A6F"/>
    <w:rsid w:val="00EF3A3A"/>
    <w:rsid w:val="00F15F51"/>
    <w:rsid w:val="00F24248"/>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0E0F4E30-4C48-4A98-910B-B5B3CE3C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uiPriority w:val="99"/>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uiPriority w:val="99"/>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basedOn w:val="a0"/>
    <w:uiPriority w:val="99"/>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link w:val="a4"/>
    <w:uiPriority w:val="99"/>
    <w:locked/>
    <w:rsid w:val="008D7B0A"/>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4AE36-00BC-4163-813D-E7F1D1CBA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88F4AFE3-9455-419C-8851-785A55F44517}">
  <ds:schemaRefs>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E87929F5-6692-46FD-BF72-2352C9F9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471</Words>
  <Characters>2357</Characters>
  <Application>Microsoft Office Word</Application>
  <DocSecurity>0</DocSecurity>
  <Lines>19</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7</cp:revision>
  <cp:lastPrinted>2015-11-18T13:15:00Z</cp:lastPrinted>
  <dcterms:created xsi:type="dcterms:W3CDTF">2015-04-20T09:58:00Z</dcterms:created>
  <dcterms:modified xsi:type="dcterms:W3CDTF">2015-11-18T13:15:00Z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570069</vt:r8>
  </property>
</Properties>
</file>