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565074</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רועי פולקמן</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טלי פלוסקוב</w:t>
      </w:r>
      <w:r>
        <w:br/>
      </w:r>
      <w:r>
        <w:rPr>
          <w:rFonts w:hint="cs"/>
          <w:b/>
          <w:bCs/>
          <w:rtl/>
        </w:rPr>
        <w:t xml:space="preserve"> </w:t>
      </w:r>
      <w:r>
        <w:tab/>
      </w:r>
      <w:r>
        <w:tab/>
      </w:r>
      <w:r>
        <w:tab/>
      </w:r>
      <w:r>
        <w:tab/>
      </w:r>
      <w:r>
        <w:rPr>
          <w:rFonts w:hint="cs"/>
          <w:b/>
          <w:bCs/>
          <w:rtl/>
        </w:rPr>
        <w:t>ניסן סלומינסקי</w:t>
      </w:r>
      <w:r>
        <w:br/>
      </w:r>
      <w:r>
        <w:rPr>
          <w:rFonts w:hint="cs"/>
          <w:b/>
          <w:bCs/>
          <w:rtl/>
        </w:rPr>
        <w:t xml:space="preserve"> </w:t>
      </w:r>
      <w:r>
        <w:tab/>
      </w:r>
      <w:r>
        <w:tab/>
      </w:r>
      <w:r>
        <w:tab/>
      </w:r>
      <w:r>
        <w:tab/>
      </w:r>
      <w:r>
        <w:rPr>
          <w:rFonts w:hint="cs"/>
          <w:b/>
          <w:bCs/>
          <w:rtl/>
        </w:rPr>
        <w:t>יחיאל חיליק בר</w:t>
      </w:r>
      <w:r>
        <w:br/>
      </w:r>
      <w:r>
        <w:rPr>
          <w:rFonts w:hint="cs"/>
          <w:b/>
          <w:bCs/>
          <w:rtl/>
        </w:rPr>
        <w:t xml:space="preserve"> </w:t>
      </w:r>
      <w:r>
        <w:tab/>
      </w:r>
      <w:r>
        <w:tab/>
      </w:r>
      <w:r>
        <w:tab/>
      </w:r>
      <w:r>
        <w:tab/>
      </w:r>
      <w:r>
        <w:rPr>
          <w:rFonts w:hint="cs"/>
          <w:b/>
          <w:bCs/>
          <w:rtl/>
        </w:rPr>
        <w:t>נורית קורן</w:t>
      </w:r>
      <w:bookmarkEnd w:id="4"/>
    </w:p>
    <w:p w14:paraId="7F6961AA" w14:textId="39F9D96B" w:rsidR="00E13C27" w:rsidRPr="00CF1AA2" w:rsidRDefault="007D585A" w:rsidP="0036422C">
      <w:pPr>
        <w:pStyle w:val="David"/>
        <w:spacing w:before="0" w:line="360" w:lineRule="auto"/>
        <w:ind w:left="3544"/>
        <w:rPr>
          <w:b/>
          <w:bCs/>
          <w:sz w:val="16"/>
          <w:szCs w:val="16"/>
          <w:rtl/>
        </w:rPr>
      </w:pPr>
      <w:bookmarkStart w:id="5" w:name="LGS_Join_List"/>
      <w:r>
        <w:rPr>
          <w:rtl/>
        </w:rPr>
        <w:t xml:space="preserve"> </w:t>
      </w:r>
      <w:bookmarkEnd w:id="5"/>
      <w:r w:rsidR="002200A1" w:rsidRPr="00CF1AA2">
        <w:rPr>
          <w:rFonts w:hint="cs"/>
          <w:rtl/>
        </w:rPr>
        <w:tab/>
      </w:r>
      <w:bookmarkStart w:id="6" w:name="LGS_PM_NamesJoin"/>
      <w:r>
        <w:rPr>
          <w:rFonts w:hint="cs"/>
          <w:rtl/>
        </w:rPr>
        <w:t xml:space="preserve"> </w:t>
      </w:r>
      <w:bookmarkEnd w:id="6"/>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7" w:name="Private_Number"/>
      <w:r>
        <w:rPr>
          <w:rFonts w:hint="cs"/>
          <w:rtl/>
        </w:rPr>
        <w:t>פ/1903/20</w:t>
      </w:r>
      <w:bookmarkEnd w:id="7"/>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8" w:name="LGS_Subject"/>
      <w:r>
        <w:rPr>
          <w:rFonts w:hint="cs"/>
          <w:rtl/>
        </w:rPr>
        <w:t>הצעת חוק לתיקון פקודת העיריות (קיצור תקופת הפטור מתשלום ארנונה לבניין שנהרס או ניזוק וקביעת סכום מרבי לתשלום), התשע"ה–2015</w:t>
      </w:r>
      <w:bookmarkEnd w:id="8"/>
    </w:p>
    <w:p w14:paraId="7F6961AE" w14:textId="77777777" w:rsidR="00E13C27" w:rsidRDefault="00E13C27" w:rsidP="0021633A">
      <w:pPr>
        <w:pStyle w:val="HeadDivreiHesber"/>
        <w:spacing w:before="0" w:after="0"/>
        <w:rPr>
          <w:rtl/>
        </w:rPr>
      </w:pPr>
    </w:p>
    <w:tbl>
      <w:tblPr>
        <w:bidiVisual/>
        <w:tblW w:w="9641" w:type="dxa"/>
        <w:tblCellMar>
          <w:top w:w="57" w:type="dxa"/>
          <w:left w:w="0" w:type="dxa"/>
          <w:bottom w:w="57" w:type="dxa"/>
          <w:right w:w="0" w:type="dxa"/>
        </w:tblCellMar>
        <w:tblLook w:val="04A0" w:firstRow="1" w:lastRow="0" w:firstColumn="1" w:lastColumn="0" w:noHBand="0" w:noVBand="1"/>
      </w:tblPr>
      <w:tblGrid>
        <w:gridCol w:w="1871"/>
        <w:gridCol w:w="624"/>
        <w:gridCol w:w="624"/>
        <w:gridCol w:w="624"/>
        <w:gridCol w:w="5898"/>
      </w:tblGrid>
      <w:tr w:rsidR="006B6D3A" w14:paraId="2B4D69E6" w14:textId="77777777" w:rsidTr="006B6D3A">
        <w:trPr>
          <w:cantSplit/>
        </w:trPr>
        <w:tc>
          <w:tcPr>
            <w:tcW w:w="1871" w:type="dxa"/>
            <w:hideMark/>
          </w:tcPr>
          <w:p w14:paraId="43F2DC05" w14:textId="77777777" w:rsidR="006B6D3A" w:rsidRDefault="006B6D3A" w:rsidP="00D12577">
            <w:pPr>
              <w:pStyle w:val="TableSideHeading"/>
              <w:ind w:right="0"/>
              <w:rPr>
                <w:sz w:val="26"/>
              </w:rPr>
            </w:pPr>
            <w:r w:rsidRPr="00894770">
              <w:rPr>
                <w:rFonts w:hint="cs"/>
                <w:rtl/>
              </w:rPr>
              <w:t>תיקון סעיף 330</w:t>
            </w:r>
          </w:p>
        </w:tc>
        <w:tc>
          <w:tcPr>
            <w:tcW w:w="624" w:type="dxa"/>
            <w:hideMark/>
          </w:tcPr>
          <w:p w14:paraId="56EF77DE" w14:textId="77777777" w:rsidR="006B6D3A" w:rsidRDefault="006B6D3A" w:rsidP="00D12577">
            <w:pPr>
              <w:pStyle w:val="TableText"/>
              <w:ind w:right="0"/>
              <w:jc w:val="both"/>
              <w:rPr>
                <w:sz w:val="26"/>
              </w:rPr>
            </w:pPr>
            <w:r>
              <w:rPr>
                <w:rFonts w:hint="cs"/>
                <w:sz w:val="26"/>
                <w:rtl/>
              </w:rPr>
              <w:t>1.</w:t>
            </w:r>
          </w:p>
        </w:tc>
        <w:tc>
          <w:tcPr>
            <w:tcW w:w="7146" w:type="dxa"/>
            <w:gridSpan w:val="3"/>
            <w:hideMark/>
          </w:tcPr>
          <w:p w14:paraId="3BD66780" w14:textId="77777777" w:rsidR="006B6D3A" w:rsidRDefault="006B6D3A" w:rsidP="00D12577">
            <w:pPr>
              <w:pStyle w:val="TableBlock"/>
              <w:rPr>
                <w:sz w:val="26"/>
              </w:rPr>
            </w:pPr>
            <w:r w:rsidRPr="00894770">
              <w:rPr>
                <w:rFonts w:hint="cs"/>
                <w:rtl/>
              </w:rPr>
              <w:t>בפקודת העיריות</w:t>
            </w:r>
            <w:r>
              <w:rPr>
                <w:rStyle w:val="a6"/>
                <w:rtl/>
              </w:rPr>
              <w:footnoteReference w:id="2"/>
            </w:r>
            <w:r>
              <w:rPr>
                <w:rFonts w:hint="cs"/>
                <w:rtl/>
              </w:rPr>
              <w:t xml:space="preserve"> (להלן – הפקודה), בסעיף 330 </w:t>
            </w:r>
            <w:r>
              <w:rPr>
                <w:rFonts w:hint="eastAsia"/>
                <w:rtl/>
              </w:rPr>
              <w:t>–</w:t>
            </w:r>
          </w:p>
        </w:tc>
      </w:tr>
      <w:tr w:rsidR="006B6D3A" w14:paraId="1F2D793C" w14:textId="77777777" w:rsidTr="006B6D3A">
        <w:trPr>
          <w:cantSplit/>
        </w:trPr>
        <w:tc>
          <w:tcPr>
            <w:tcW w:w="1871" w:type="dxa"/>
          </w:tcPr>
          <w:p w14:paraId="53E47292" w14:textId="77777777" w:rsidR="006B6D3A" w:rsidRPr="00894770" w:rsidRDefault="006B6D3A" w:rsidP="00D12577">
            <w:pPr>
              <w:pStyle w:val="TableSideHeading"/>
              <w:ind w:right="0"/>
              <w:rPr>
                <w:rtl/>
              </w:rPr>
            </w:pPr>
          </w:p>
        </w:tc>
        <w:tc>
          <w:tcPr>
            <w:tcW w:w="624" w:type="dxa"/>
          </w:tcPr>
          <w:p w14:paraId="7E0C38F5" w14:textId="77777777" w:rsidR="006B6D3A" w:rsidRDefault="006B6D3A" w:rsidP="00D12577">
            <w:pPr>
              <w:pStyle w:val="TableText"/>
              <w:rPr>
                <w:rtl/>
              </w:rPr>
            </w:pPr>
          </w:p>
        </w:tc>
        <w:tc>
          <w:tcPr>
            <w:tcW w:w="7146" w:type="dxa"/>
            <w:gridSpan w:val="3"/>
          </w:tcPr>
          <w:p w14:paraId="35F1FAC0" w14:textId="570E18C3" w:rsidR="006B6D3A" w:rsidRPr="00894770" w:rsidRDefault="006B6D3A" w:rsidP="00AC72CF">
            <w:pPr>
              <w:pStyle w:val="TableBlock"/>
              <w:rPr>
                <w:rtl/>
              </w:rPr>
            </w:pPr>
            <w:r>
              <w:rPr>
                <w:rFonts w:hint="cs"/>
                <w:rtl/>
              </w:rPr>
              <w:t>(1)</w:t>
            </w:r>
            <w:r>
              <w:rPr>
                <w:rtl/>
              </w:rPr>
              <w:tab/>
            </w:r>
            <w:r w:rsidR="009A7830">
              <w:rPr>
                <w:rFonts w:hint="cs"/>
                <w:rtl/>
              </w:rPr>
              <w:t>האמור בו יסומן "(א)"</w:t>
            </w:r>
            <w:r w:rsidR="00827A30">
              <w:rPr>
                <w:rFonts w:hint="cs"/>
                <w:rtl/>
              </w:rPr>
              <w:t xml:space="preserve"> </w:t>
            </w:r>
            <w:r w:rsidR="0046568C">
              <w:rPr>
                <w:rFonts w:hint="cs"/>
                <w:rtl/>
              </w:rPr>
              <w:t>ובו</w:t>
            </w:r>
            <w:r w:rsidR="00AC72CF">
              <w:rPr>
                <w:rFonts w:hint="cs"/>
                <w:rtl/>
              </w:rPr>
              <w:t xml:space="preserve"> </w:t>
            </w:r>
            <w:r w:rsidR="00AC72CF">
              <w:rPr>
                <w:rFonts w:hint="eastAsia"/>
                <w:rtl/>
              </w:rPr>
              <w:t>–</w:t>
            </w:r>
          </w:p>
        </w:tc>
      </w:tr>
      <w:tr w:rsidR="0046568C" w:rsidDel="0046568C" w14:paraId="2F3BF55C" w14:textId="77777777" w:rsidTr="006B6D3A">
        <w:tblPrEx>
          <w:tblLook w:val="01E0" w:firstRow="1" w:lastRow="1" w:firstColumn="1" w:lastColumn="1" w:noHBand="0" w:noVBand="0"/>
        </w:tblPrEx>
        <w:trPr>
          <w:cantSplit/>
          <w:trHeight w:val="60"/>
        </w:trPr>
        <w:tc>
          <w:tcPr>
            <w:tcW w:w="1871" w:type="dxa"/>
          </w:tcPr>
          <w:p w14:paraId="6C770B7A" w14:textId="77777777" w:rsidR="0046568C" w:rsidRDefault="0046568C" w:rsidP="00D12577">
            <w:pPr>
              <w:pStyle w:val="TableSideHeading"/>
              <w:rPr>
                <w:rtl/>
              </w:rPr>
            </w:pPr>
          </w:p>
        </w:tc>
        <w:tc>
          <w:tcPr>
            <w:tcW w:w="624" w:type="dxa"/>
          </w:tcPr>
          <w:p w14:paraId="2E002DC0" w14:textId="77777777" w:rsidR="0046568C" w:rsidRDefault="0046568C" w:rsidP="006132CE">
            <w:pPr>
              <w:pStyle w:val="TableText"/>
              <w:rPr>
                <w:rtl/>
              </w:rPr>
            </w:pPr>
          </w:p>
        </w:tc>
        <w:tc>
          <w:tcPr>
            <w:tcW w:w="624" w:type="dxa"/>
          </w:tcPr>
          <w:p w14:paraId="57E7DDEA" w14:textId="77777777" w:rsidR="0046568C" w:rsidRDefault="0046568C" w:rsidP="00D12577">
            <w:pPr>
              <w:pStyle w:val="TableText"/>
              <w:rPr>
                <w:rtl/>
              </w:rPr>
            </w:pPr>
          </w:p>
        </w:tc>
        <w:tc>
          <w:tcPr>
            <w:tcW w:w="6522" w:type="dxa"/>
            <w:gridSpan w:val="2"/>
          </w:tcPr>
          <w:p w14:paraId="75393890" w14:textId="1A7B949D" w:rsidR="0046568C" w:rsidDel="0046568C" w:rsidRDefault="0046568C" w:rsidP="00AC72CF">
            <w:pPr>
              <w:pStyle w:val="TableBlock"/>
              <w:rPr>
                <w:rtl/>
              </w:rPr>
            </w:pPr>
            <w:r>
              <w:rPr>
                <w:rFonts w:hint="cs"/>
                <w:rtl/>
              </w:rPr>
              <w:t>(א)</w:t>
            </w:r>
            <w:r>
              <w:rPr>
                <w:rtl/>
              </w:rPr>
              <w:tab/>
            </w:r>
            <w:r>
              <w:rPr>
                <w:rFonts w:hint="cs"/>
                <w:rtl/>
              </w:rPr>
              <w:t>בפסקה (2)</w:t>
            </w:r>
            <w:r w:rsidR="00AC72CF">
              <w:rPr>
                <w:rFonts w:hint="cs"/>
                <w:rtl/>
              </w:rPr>
              <w:t>,</w:t>
            </w:r>
            <w:r>
              <w:rPr>
                <w:rFonts w:hint="cs"/>
                <w:rtl/>
              </w:rPr>
              <w:t xml:space="preserve"> המילים "בחמש השנים שמתום אותה תקופה, בסכום המזערי"</w:t>
            </w:r>
            <w:r w:rsidR="00AC72CF">
              <w:rPr>
                <w:rFonts w:hint="cs"/>
                <w:rtl/>
              </w:rPr>
              <w:t xml:space="preserve">, </w:t>
            </w:r>
            <w:proofErr w:type="spellStart"/>
            <w:r w:rsidR="00AC72CF">
              <w:rPr>
                <w:rFonts w:hint="cs"/>
                <w:rtl/>
              </w:rPr>
              <w:t>והסיפה</w:t>
            </w:r>
            <w:proofErr w:type="spellEnd"/>
            <w:r>
              <w:rPr>
                <w:rFonts w:hint="cs"/>
                <w:rtl/>
              </w:rPr>
              <w:t xml:space="preserve"> החל במילים "בסעיף זה" – יימחקו;</w:t>
            </w:r>
          </w:p>
        </w:tc>
      </w:tr>
      <w:tr w:rsidR="0046568C" w:rsidDel="0046568C" w14:paraId="0808C2BF" w14:textId="77777777" w:rsidTr="006B6D3A">
        <w:tblPrEx>
          <w:tblLook w:val="01E0" w:firstRow="1" w:lastRow="1" w:firstColumn="1" w:lastColumn="1" w:noHBand="0" w:noVBand="0"/>
        </w:tblPrEx>
        <w:trPr>
          <w:cantSplit/>
          <w:trHeight w:val="60"/>
        </w:trPr>
        <w:tc>
          <w:tcPr>
            <w:tcW w:w="1871" w:type="dxa"/>
          </w:tcPr>
          <w:p w14:paraId="3225C551" w14:textId="77777777" w:rsidR="0046568C" w:rsidRDefault="0046568C" w:rsidP="00D12577">
            <w:pPr>
              <w:pStyle w:val="TableSideHeading"/>
              <w:rPr>
                <w:rtl/>
              </w:rPr>
            </w:pPr>
          </w:p>
        </w:tc>
        <w:tc>
          <w:tcPr>
            <w:tcW w:w="624" w:type="dxa"/>
          </w:tcPr>
          <w:p w14:paraId="6E0F7C81" w14:textId="77777777" w:rsidR="0046568C" w:rsidRDefault="0046568C" w:rsidP="006132CE">
            <w:pPr>
              <w:pStyle w:val="TableText"/>
              <w:rPr>
                <w:rtl/>
              </w:rPr>
            </w:pPr>
          </w:p>
        </w:tc>
        <w:tc>
          <w:tcPr>
            <w:tcW w:w="624" w:type="dxa"/>
          </w:tcPr>
          <w:p w14:paraId="63285706" w14:textId="77777777" w:rsidR="0046568C" w:rsidRDefault="0046568C" w:rsidP="00D12577">
            <w:pPr>
              <w:pStyle w:val="TableText"/>
              <w:rPr>
                <w:rtl/>
              </w:rPr>
            </w:pPr>
          </w:p>
        </w:tc>
        <w:tc>
          <w:tcPr>
            <w:tcW w:w="6522" w:type="dxa"/>
            <w:gridSpan w:val="2"/>
          </w:tcPr>
          <w:p w14:paraId="1D9F6C41" w14:textId="7F4EFC21" w:rsidR="0046568C" w:rsidRDefault="0046568C" w:rsidP="0046568C">
            <w:pPr>
              <w:pStyle w:val="TableBlock"/>
              <w:rPr>
                <w:rtl/>
              </w:rPr>
            </w:pPr>
            <w:r>
              <w:rPr>
                <w:rFonts w:hint="cs"/>
                <w:rtl/>
              </w:rPr>
              <w:t>(ב)</w:t>
            </w:r>
            <w:r>
              <w:rPr>
                <w:rtl/>
              </w:rPr>
              <w:tab/>
            </w:r>
            <w:r>
              <w:rPr>
                <w:rFonts w:hint="cs"/>
                <w:rtl/>
              </w:rPr>
              <w:t xml:space="preserve">פסקה (3) </w:t>
            </w:r>
            <w:r>
              <w:rPr>
                <w:rFonts w:hint="eastAsia"/>
                <w:rtl/>
              </w:rPr>
              <w:t xml:space="preserve">– </w:t>
            </w:r>
            <w:r>
              <w:rPr>
                <w:rFonts w:hint="cs"/>
                <w:rtl/>
              </w:rPr>
              <w:t>תימחק;</w:t>
            </w:r>
          </w:p>
        </w:tc>
      </w:tr>
      <w:tr w:rsidR="0046568C" w:rsidDel="0046568C" w14:paraId="65486C45" w14:textId="77777777" w:rsidTr="006B6D3A">
        <w:tblPrEx>
          <w:tblLook w:val="01E0" w:firstRow="1" w:lastRow="1" w:firstColumn="1" w:lastColumn="1" w:noHBand="0" w:noVBand="0"/>
        </w:tblPrEx>
        <w:trPr>
          <w:cantSplit/>
          <w:trHeight w:val="60"/>
        </w:trPr>
        <w:tc>
          <w:tcPr>
            <w:tcW w:w="1871" w:type="dxa"/>
          </w:tcPr>
          <w:p w14:paraId="27458FF1" w14:textId="77777777" w:rsidR="0046568C" w:rsidRDefault="0046568C" w:rsidP="00D12577">
            <w:pPr>
              <w:pStyle w:val="TableSideHeading"/>
              <w:rPr>
                <w:rtl/>
              </w:rPr>
            </w:pPr>
          </w:p>
        </w:tc>
        <w:tc>
          <w:tcPr>
            <w:tcW w:w="624" w:type="dxa"/>
          </w:tcPr>
          <w:p w14:paraId="32AFDD5A" w14:textId="77777777" w:rsidR="0046568C" w:rsidRDefault="0046568C" w:rsidP="006132CE">
            <w:pPr>
              <w:pStyle w:val="TableText"/>
              <w:rPr>
                <w:rtl/>
              </w:rPr>
            </w:pPr>
          </w:p>
        </w:tc>
        <w:tc>
          <w:tcPr>
            <w:tcW w:w="624" w:type="dxa"/>
          </w:tcPr>
          <w:p w14:paraId="1FCBA681" w14:textId="77777777" w:rsidR="0046568C" w:rsidRDefault="0046568C" w:rsidP="00D12577">
            <w:pPr>
              <w:pStyle w:val="TableText"/>
              <w:rPr>
                <w:rtl/>
              </w:rPr>
            </w:pPr>
          </w:p>
        </w:tc>
        <w:tc>
          <w:tcPr>
            <w:tcW w:w="6522" w:type="dxa"/>
            <w:gridSpan w:val="2"/>
          </w:tcPr>
          <w:p w14:paraId="62BF706A" w14:textId="6B39589C" w:rsidR="0046568C" w:rsidRDefault="0046568C" w:rsidP="0046568C">
            <w:pPr>
              <w:pStyle w:val="TableBlock"/>
              <w:rPr>
                <w:rtl/>
              </w:rPr>
            </w:pPr>
            <w:r>
              <w:rPr>
                <w:rFonts w:hint="cs"/>
                <w:rtl/>
              </w:rPr>
              <w:t>(ג)</w:t>
            </w:r>
            <w:r>
              <w:rPr>
                <w:rtl/>
              </w:rPr>
              <w:tab/>
            </w:r>
            <w:r>
              <w:rPr>
                <w:rFonts w:hint="cs"/>
                <w:rtl/>
              </w:rPr>
              <w:t>במקום פסקה (4) יבוא:</w:t>
            </w:r>
          </w:p>
        </w:tc>
      </w:tr>
      <w:tr w:rsidR="00AC72CF" w:rsidDel="0046568C" w14:paraId="38B9C7FD" w14:textId="0374A8ED" w:rsidTr="00AC72CF">
        <w:tblPrEx>
          <w:tblLook w:val="01E0" w:firstRow="1" w:lastRow="1" w:firstColumn="1" w:lastColumn="1" w:noHBand="0" w:noVBand="0"/>
        </w:tblPrEx>
        <w:trPr>
          <w:cantSplit/>
          <w:trHeight w:val="60"/>
        </w:trPr>
        <w:tc>
          <w:tcPr>
            <w:tcW w:w="1871" w:type="dxa"/>
          </w:tcPr>
          <w:p w14:paraId="2D0EC5F1" w14:textId="77777777" w:rsidR="00AC72CF" w:rsidRDefault="00AC72CF" w:rsidP="00AC72CF">
            <w:pPr>
              <w:pStyle w:val="TableSideHeading"/>
              <w:ind w:right="0"/>
              <w:rPr>
                <w:rtl/>
              </w:rPr>
            </w:pPr>
          </w:p>
        </w:tc>
        <w:tc>
          <w:tcPr>
            <w:tcW w:w="624" w:type="dxa"/>
          </w:tcPr>
          <w:p w14:paraId="2ACC894A" w14:textId="77777777" w:rsidR="00AC72CF" w:rsidRDefault="00AC72CF" w:rsidP="00AC72CF">
            <w:pPr>
              <w:pStyle w:val="TableText"/>
              <w:ind w:right="0"/>
              <w:jc w:val="both"/>
              <w:rPr>
                <w:rtl/>
              </w:rPr>
            </w:pPr>
          </w:p>
        </w:tc>
        <w:tc>
          <w:tcPr>
            <w:tcW w:w="624" w:type="dxa"/>
          </w:tcPr>
          <w:p w14:paraId="03BBB474" w14:textId="77777777" w:rsidR="00AC72CF" w:rsidRDefault="00AC72CF" w:rsidP="00AC72CF">
            <w:pPr>
              <w:pStyle w:val="TableText"/>
              <w:ind w:right="0"/>
              <w:jc w:val="both"/>
              <w:rPr>
                <w:rtl/>
              </w:rPr>
            </w:pPr>
          </w:p>
        </w:tc>
        <w:tc>
          <w:tcPr>
            <w:tcW w:w="624" w:type="dxa"/>
          </w:tcPr>
          <w:p w14:paraId="53066E14" w14:textId="3D7D171E" w:rsidR="00AC72CF" w:rsidRDefault="00AC72CF" w:rsidP="00AC72CF">
            <w:pPr>
              <w:pStyle w:val="TableBlock"/>
              <w:rPr>
                <w:rtl/>
              </w:rPr>
            </w:pPr>
          </w:p>
        </w:tc>
        <w:tc>
          <w:tcPr>
            <w:tcW w:w="5895" w:type="dxa"/>
          </w:tcPr>
          <w:p w14:paraId="2D8130D0" w14:textId="55E71A11" w:rsidR="00AC72CF" w:rsidRDefault="00AC72CF" w:rsidP="00AC72CF">
            <w:pPr>
              <w:pStyle w:val="TableText"/>
              <w:ind w:right="0"/>
              <w:jc w:val="both"/>
              <w:rPr>
                <w:rtl/>
              </w:rPr>
            </w:pPr>
            <w:r>
              <w:rPr>
                <w:rFonts w:hint="cs"/>
                <w:rtl/>
              </w:rPr>
              <w:t>"(4)</w:t>
            </w:r>
            <w:r>
              <w:rPr>
                <w:rtl/>
              </w:rPr>
              <w:tab/>
            </w:r>
            <w:r>
              <w:rPr>
                <w:rFonts w:hint="cs"/>
                <w:rtl/>
              </w:rPr>
              <w:t>התקופה כאמור בפסקה (1) תימנה בין ברציפות ובין במצטבר.";</w:t>
            </w:r>
          </w:p>
        </w:tc>
      </w:tr>
      <w:tr w:rsidR="00F51187" w14:paraId="0A3E24EC" w14:textId="77777777" w:rsidTr="008D34BF">
        <w:tblPrEx>
          <w:tblLook w:val="01E0" w:firstRow="1" w:lastRow="1" w:firstColumn="1" w:lastColumn="1" w:noHBand="0" w:noVBand="0"/>
        </w:tblPrEx>
        <w:trPr>
          <w:cantSplit/>
          <w:trHeight w:val="60"/>
        </w:trPr>
        <w:tc>
          <w:tcPr>
            <w:tcW w:w="1871" w:type="dxa"/>
          </w:tcPr>
          <w:p w14:paraId="4C6688D4" w14:textId="77777777" w:rsidR="00F51187" w:rsidRDefault="00F51187" w:rsidP="00D12577">
            <w:pPr>
              <w:pStyle w:val="TableSideHeading"/>
            </w:pPr>
          </w:p>
        </w:tc>
        <w:tc>
          <w:tcPr>
            <w:tcW w:w="624" w:type="dxa"/>
          </w:tcPr>
          <w:p w14:paraId="149C183E" w14:textId="77777777" w:rsidR="00F51187" w:rsidRDefault="00F51187" w:rsidP="00436351">
            <w:pPr>
              <w:pStyle w:val="TableText"/>
            </w:pPr>
          </w:p>
        </w:tc>
        <w:tc>
          <w:tcPr>
            <w:tcW w:w="7146" w:type="dxa"/>
            <w:gridSpan w:val="3"/>
          </w:tcPr>
          <w:p w14:paraId="099A9476" w14:textId="2C2434A5" w:rsidR="00F51187" w:rsidRDefault="00F51187" w:rsidP="006132CE">
            <w:pPr>
              <w:pStyle w:val="TableText"/>
              <w:rPr>
                <w:rtl/>
              </w:rPr>
            </w:pPr>
            <w:r>
              <w:rPr>
                <w:rFonts w:hint="cs"/>
                <w:rtl/>
              </w:rPr>
              <w:t>(2)</w:t>
            </w:r>
            <w:r>
              <w:rPr>
                <w:rtl/>
              </w:rPr>
              <w:tab/>
            </w:r>
            <w:r>
              <w:rPr>
                <w:rFonts w:hint="cs"/>
                <w:rtl/>
              </w:rPr>
              <w:t>אחרי סעיף קטן (א) יבוא:</w:t>
            </w:r>
          </w:p>
        </w:tc>
      </w:tr>
      <w:tr w:rsidR="00AC4D68" w14:paraId="792ED25A" w14:textId="77777777" w:rsidTr="006B6D3A">
        <w:tblPrEx>
          <w:tblLook w:val="01E0" w:firstRow="1" w:lastRow="1" w:firstColumn="1" w:lastColumn="1" w:noHBand="0" w:noVBand="0"/>
        </w:tblPrEx>
        <w:trPr>
          <w:cantSplit/>
          <w:trHeight w:val="60"/>
        </w:trPr>
        <w:tc>
          <w:tcPr>
            <w:tcW w:w="1871" w:type="dxa"/>
          </w:tcPr>
          <w:p w14:paraId="64E0C168" w14:textId="77777777" w:rsidR="00AC4D68" w:rsidRDefault="00AC4D68" w:rsidP="00D12577">
            <w:pPr>
              <w:pStyle w:val="TableSideHeading"/>
              <w:rPr>
                <w:rtl/>
              </w:rPr>
            </w:pPr>
          </w:p>
        </w:tc>
        <w:tc>
          <w:tcPr>
            <w:tcW w:w="624" w:type="dxa"/>
          </w:tcPr>
          <w:p w14:paraId="1D689E3B" w14:textId="77777777" w:rsidR="00AC4D68" w:rsidRDefault="00AC4D68" w:rsidP="00436351">
            <w:pPr>
              <w:pStyle w:val="TableText"/>
            </w:pPr>
          </w:p>
        </w:tc>
        <w:tc>
          <w:tcPr>
            <w:tcW w:w="624" w:type="dxa"/>
          </w:tcPr>
          <w:p w14:paraId="518B030B" w14:textId="77777777" w:rsidR="00AC4D68" w:rsidRDefault="00AC4D68" w:rsidP="00D12577">
            <w:pPr>
              <w:pStyle w:val="TableText"/>
              <w:rPr>
                <w:rtl/>
              </w:rPr>
            </w:pPr>
          </w:p>
        </w:tc>
        <w:tc>
          <w:tcPr>
            <w:tcW w:w="6522" w:type="dxa"/>
            <w:gridSpan w:val="2"/>
          </w:tcPr>
          <w:p w14:paraId="5D008D05" w14:textId="08D08E68" w:rsidR="00AC4D68" w:rsidRDefault="00AC4D68" w:rsidP="00D12577">
            <w:pPr>
              <w:pStyle w:val="TableBlock"/>
              <w:rPr>
                <w:rtl/>
              </w:rPr>
            </w:pPr>
            <w:r>
              <w:rPr>
                <w:rFonts w:hint="cs"/>
                <w:rtl/>
              </w:rPr>
              <w:t>"(ב)</w:t>
            </w:r>
            <w:r>
              <w:rPr>
                <w:rtl/>
              </w:rPr>
              <w:tab/>
            </w:r>
            <w:r>
              <w:rPr>
                <w:rFonts w:hint="cs"/>
                <w:rtl/>
              </w:rPr>
              <w:t>הוראות סעיף קטן (א) לא יחולו על בניין שנהרס או ניזוק כאמור באותו סעיף קטן, בשל פעולות איבה או אסון טבע, ורשאי השר לקבוע שהוראות סעיף קטן (א) לא יחולו על סוגי בניינים נוספים".</w:t>
            </w:r>
          </w:p>
        </w:tc>
      </w:tr>
      <w:tr w:rsidR="006B6D3A" w14:paraId="1C27FA7B" w14:textId="77777777" w:rsidTr="006B6D3A">
        <w:trPr>
          <w:cantSplit/>
        </w:trPr>
        <w:tc>
          <w:tcPr>
            <w:tcW w:w="1871" w:type="dxa"/>
          </w:tcPr>
          <w:p w14:paraId="05E96F66" w14:textId="77777777" w:rsidR="006B6D3A" w:rsidRPr="00894770" w:rsidRDefault="006B6D3A" w:rsidP="00D12577">
            <w:pPr>
              <w:pStyle w:val="TableSideHeading"/>
              <w:ind w:right="0"/>
              <w:rPr>
                <w:rtl/>
              </w:rPr>
            </w:pPr>
            <w:r>
              <w:rPr>
                <w:rFonts w:hint="cs"/>
                <w:rtl/>
              </w:rPr>
              <w:lastRenderedPageBreak/>
              <w:t>הוראת מעבר</w:t>
            </w:r>
          </w:p>
        </w:tc>
        <w:tc>
          <w:tcPr>
            <w:tcW w:w="624" w:type="dxa"/>
          </w:tcPr>
          <w:p w14:paraId="67634351" w14:textId="77777777" w:rsidR="006B6D3A" w:rsidRDefault="006B6D3A" w:rsidP="00D12577">
            <w:pPr>
              <w:pStyle w:val="TableText"/>
              <w:rPr>
                <w:rtl/>
              </w:rPr>
            </w:pPr>
            <w:r>
              <w:rPr>
                <w:rFonts w:hint="cs"/>
                <w:rtl/>
              </w:rPr>
              <w:t>2.</w:t>
            </w:r>
          </w:p>
        </w:tc>
        <w:tc>
          <w:tcPr>
            <w:tcW w:w="7146" w:type="dxa"/>
            <w:gridSpan w:val="3"/>
          </w:tcPr>
          <w:p w14:paraId="661A5B28" w14:textId="0F9B24E5" w:rsidR="006B6D3A" w:rsidRDefault="006B6D3A" w:rsidP="006132CE">
            <w:pPr>
              <w:pStyle w:val="TableBlock"/>
              <w:rPr>
                <w:rtl/>
              </w:rPr>
            </w:pPr>
            <w:r>
              <w:rPr>
                <w:rFonts w:hint="cs"/>
                <w:rtl/>
              </w:rPr>
              <w:t>הוראות סעיף 330 לפקודה, כנוסחו בסעיף 1 לחוק זה, לא יחולו על מי שהיה זכאי לפטור</w:t>
            </w:r>
            <w:r w:rsidR="00AC72CF">
              <w:rPr>
                <w:rFonts w:hint="cs"/>
                <w:rtl/>
              </w:rPr>
              <w:t xml:space="preserve"> או ששילם תשלום מזערי לפי סעיף</w:t>
            </w:r>
            <w:r>
              <w:rPr>
                <w:rFonts w:hint="cs"/>
                <w:rtl/>
              </w:rPr>
              <w:t xml:space="preserve"> 330</w:t>
            </w:r>
            <w:r w:rsidR="00827A30">
              <w:rPr>
                <w:rFonts w:hint="cs"/>
                <w:rtl/>
              </w:rPr>
              <w:t xml:space="preserve"> </w:t>
            </w:r>
            <w:r>
              <w:rPr>
                <w:rFonts w:hint="cs"/>
                <w:rtl/>
              </w:rPr>
              <w:t xml:space="preserve">לפקודה </w:t>
            </w:r>
            <w:r w:rsidR="00F51187">
              <w:rPr>
                <w:rFonts w:hint="cs"/>
                <w:rtl/>
              </w:rPr>
              <w:t xml:space="preserve">כנוסחו </w:t>
            </w:r>
            <w:r>
              <w:rPr>
                <w:rFonts w:hint="cs"/>
                <w:rtl/>
              </w:rPr>
              <w:t xml:space="preserve">ערב תחילתו של חוק זה. </w:t>
            </w:r>
          </w:p>
        </w:tc>
      </w:tr>
    </w:tbl>
    <w:p w14:paraId="7F6961CA" w14:textId="41A4FF04" w:rsidR="002D1EE3" w:rsidRDefault="002D1EE3" w:rsidP="00436351">
      <w:pPr>
        <w:pStyle w:val="HeadDivreiHesber"/>
        <w:rPr>
          <w:rtl/>
        </w:rPr>
      </w:pPr>
      <w:r w:rsidRPr="004F1529">
        <w:rPr>
          <w:rFonts w:hint="eastAsia"/>
          <w:rtl/>
        </w:rPr>
        <w:t>דברי</w:t>
      </w:r>
      <w:r w:rsidRPr="004F1529">
        <w:rPr>
          <w:rtl/>
        </w:rPr>
        <w:t xml:space="preserve"> </w:t>
      </w:r>
      <w:r w:rsidRPr="004F1529">
        <w:rPr>
          <w:rFonts w:hint="eastAsia"/>
          <w:rtl/>
        </w:rPr>
        <w:t>הסבר</w:t>
      </w:r>
    </w:p>
    <w:p w14:paraId="00C0AB09" w14:textId="01C96A6A" w:rsidR="006B6D3A" w:rsidRPr="001A1726" w:rsidRDefault="006B6D3A" w:rsidP="001A3759">
      <w:pPr>
        <w:pStyle w:val="Hesber"/>
        <w:rPr>
          <w:rtl/>
        </w:rPr>
      </w:pPr>
      <w:r w:rsidRPr="001A1726">
        <w:rPr>
          <w:rFonts w:hint="cs"/>
          <w:rtl/>
        </w:rPr>
        <w:t xml:space="preserve">מצבו של שוק הדיור בישראל קשה. </w:t>
      </w:r>
      <w:r w:rsidR="00AC72CF">
        <w:rPr>
          <w:rFonts w:hint="cs"/>
          <w:rtl/>
        </w:rPr>
        <w:t>יש</w:t>
      </w:r>
      <w:r w:rsidR="001A3759">
        <w:rPr>
          <w:rFonts w:hint="cs"/>
          <w:rtl/>
        </w:rPr>
        <w:t xml:space="preserve"> </w:t>
      </w:r>
      <w:r w:rsidRPr="001A1726">
        <w:rPr>
          <w:rFonts w:hint="cs"/>
          <w:rtl/>
        </w:rPr>
        <w:t>מחסור בהיצע</w:t>
      </w:r>
      <w:r w:rsidR="00AC72CF">
        <w:rPr>
          <w:rFonts w:hint="cs"/>
          <w:rtl/>
        </w:rPr>
        <w:t>,</w:t>
      </w:r>
      <w:r w:rsidRPr="001A1726">
        <w:rPr>
          <w:rFonts w:hint="cs"/>
          <w:rtl/>
        </w:rPr>
        <w:t xml:space="preserve"> </w:t>
      </w:r>
      <w:r w:rsidR="001A3759">
        <w:rPr>
          <w:rFonts w:hint="cs"/>
          <w:rtl/>
        </w:rPr>
        <w:t xml:space="preserve">עקב כך </w:t>
      </w:r>
      <w:r w:rsidRPr="001A1726">
        <w:rPr>
          <w:rFonts w:hint="cs"/>
          <w:rtl/>
        </w:rPr>
        <w:t xml:space="preserve">מחירי הדיור גבוהים </w:t>
      </w:r>
      <w:r w:rsidR="00AC72CF">
        <w:rPr>
          <w:rFonts w:hint="cs"/>
          <w:rtl/>
        </w:rPr>
        <w:t>ו</w:t>
      </w:r>
      <w:r w:rsidR="001A3759">
        <w:rPr>
          <w:rFonts w:hint="cs"/>
          <w:rtl/>
        </w:rPr>
        <w:t>הדבר מחייב</w:t>
      </w:r>
      <w:r w:rsidR="001A3759" w:rsidRPr="001A1726">
        <w:rPr>
          <w:rFonts w:hint="cs"/>
          <w:rtl/>
        </w:rPr>
        <w:t xml:space="preserve"> </w:t>
      </w:r>
      <w:r w:rsidR="001A3759">
        <w:rPr>
          <w:rFonts w:hint="cs"/>
          <w:rtl/>
        </w:rPr>
        <w:t>ל</w:t>
      </w:r>
      <w:r w:rsidRPr="001A1726">
        <w:rPr>
          <w:rFonts w:hint="cs"/>
          <w:rtl/>
        </w:rPr>
        <w:t xml:space="preserve">התייחס לטיפול בשוק הדיור כאל צורך חירום לאומי. מטרתה של הצעת החוק היא לקצר את </w:t>
      </w:r>
      <w:r>
        <w:rPr>
          <w:rFonts w:hint="cs"/>
          <w:rtl/>
        </w:rPr>
        <w:t xml:space="preserve">תקופת </w:t>
      </w:r>
      <w:r w:rsidRPr="001A1726">
        <w:rPr>
          <w:rFonts w:hint="cs"/>
          <w:rtl/>
        </w:rPr>
        <w:t>הפטור</w:t>
      </w:r>
      <w:r>
        <w:rPr>
          <w:rFonts w:hint="cs"/>
          <w:rtl/>
        </w:rPr>
        <w:t xml:space="preserve"> מתשלום ארנונה</w:t>
      </w:r>
      <w:r w:rsidR="00AC72CF">
        <w:rPr>
          <w:rFonts w:hint="cs"/>
          <w:rtl/>
        </w:rPr>
        <w:t xml:space="preserve"> הניתן למבנים נטושים, ו</w:t>
      </w:r>
      <w:r w:rsidRPr="001A1726">
        <w:rPr>
          <w:rFonts w:hint="cs"/>
          <w:rtl/>
        </w:rPr>
        <w:t>כך לסייע להגדיל את היצע הדירות בשוק. כיום, המצב החוקי מאפשר לבעלים של מבנים נטושים או שאינם ראויים למגורים לקבל פטור מתשלומי ארנונה למשך שלוש שנים</w:t>
      </w:r>
      <w:r w:rsidR="007E3262">
        <w:rPr>
          <w:rFonts w:hint="cs"/>
          <w:rtl/>
        </w:rPr>
        <w:t xml:space="preserve"> (להלן –</w:t>
      </w:r>
      <w:r w:rsidR="004E4608">
        <w:rPr>
          <w:rFonts w:hint="cs"/>
          <w:rtl/>
        </w:rPr>
        <w:t xml:space="preserve"> תקופת הפטור הראשונה)</w:t>
      </w:r>
      <w:r w:rsidRPr="001A1726">
        <w:rPr>
          <w:rFonts w:hint="cs"/>
          <w:rtl/>
        </w:rPr>
        <w:t xml:space="preserve"> ולאחר מכן לשלם תשלום מזערי למשך חמש שנים נוספות. לאחר שתי התקופות האמורות, ניתן פטור מוחלט למשך תקופת בלתי מוגבלת, ללא שום סייג. </w:t>
      </w:r>
    </w:p>
    <w:p w14:paraId="7A6E2440" w14:textId="0C7A4F5B" w:rsidR="006B6D3A" w:rsidRDefault="006B6D3A" w:rsidP="00AC72CF">
      <w:pPr>
        <w:pStyle w:val="Hesber"/>
        <w:rPr>
          <w:rtl/>
        </w:rPr>
      </w:pPr>
      <w:r>
        <w:rPr>
          <w:rFonts w:hint="cs"/>
          <w:rtl/>
        </w:rPr>
        <w:t>מוצע לקבוע</w:t>
      </w:r>
      <w:r w:rsidRPr="001A1726">
        <w:rPr>
          <w:rFonts w:hint="cs"/>
          <w:rtl/>
        </w:rPr>
        <w:t xml:space="preserve"> כי לאחר </w:t>
      </w:r>
      <w:r w:rsidR="004E4608">
        <w:rPr>
          <w:rFonts w:hint="cs"/>
          <w:rtl/>
        </w:rPr>
        <w:t>תקופת הפטור הראשונה</w:t>
      </w:r>
      <w:r w:rsidRPr="001A1726">
        <w:rPr>
          <w:rFonts w:hint="cs"/>
          <w:rtl/>
        </w:rPr>
        <w:t xml:space="preserve">, בעליו של מבנה הרוס או נטוש יחויב </w:t>
      </w:r>
      <w:r w:rsidR="001A3759">
        <w:rPr>
          <w:rFonts w:hint="cs"/>
          <w:rtl/>
        </w:rPr>
        <w:t>בארנונה</w:t>
      </w:r>
      <w:r w:rsidR="00AC72CF">
        <w:rPr>
          <w:rFonts w:hint="cs"/>
          <w:rtl/>
        </w:rPr>
        <w:t xml:space="preserve">. </w:t>
      </w:r>
      <w:r w:rsidR="00F6613F">
        <w:rPr>
          <w:rFonts w:hint="cs"/>
          <w:rtl/>
        </w:rPr>
        <w:t>כן מוצע כי תקופת הפטור הראשונה ת</w:t>
      </w:r>
      <w:r w:rsidR="00AC72CF">
        <w:rPr>
          <w:rFonts w:hint="cs"/>
          <w:rtl/>
        </w:rPr>
        <w:t>י</w:t>
      </w:r>
      <w:r w:rsidR="00F6613F">
        <w:rPr>
          <w:rFonts w:hint="cs"/>
          <w:rtl/>
        </w:rPr>
        <w:t>מנה בין ברציפות ובין במצטבר</w:t>
      </w:r>
      <w:r w:rsidR="00493EDF">
        <w:rPr>
          <w:rFonts w:hint="cs"/>
          <w:rtl/>
        </w:rPr>
        <w:t xml:space="preserve">. </w:t>
      </w:r>
      <w:r w:rsidRPr="001A1726">
        <w:rPr>
          <w:rFonts w:hint="cs"/>
          <w:rtl/>
        </w:rPr>
        <w:t>כמו כן, מוצע לקבוע כי לשר הפנים תהיה הסמכות לקבוע את המקרי</w:t>
      </w:r>
      <w:r w:rsidR="00493EDF">
        <w:rPr>
          <w:rFonts w:hint="cs"/>
          <w:rtl/>
        </w:rPr>
        <w:t>ם</w:t>
      </w:r>
      <w:r w:rsidRPr="001A1726">
        <w:rPr>
          <w:rFonts w:hint="cs"/>
          <w:rtl/>
        </w:rPr>
        <w:t xml:space="preserve"> המיוחדים </w:t>
      </w:r>
      <w:r w:rsidR="00F6613F">
        <w:rPr>
          <w:rFonts w:hint="cs"/>
          <w:rtl/>
        </w:rPr>
        <w:t>עליהם לא יחול התיקון כאמור</w:t>
      </w:r>
      <w:r w:rsidRPr="001A1726">
        <w:rPr>
          <w:rFonts w:hint="cs"/>
          <w:rtl/>
        </w:rPr>
        <w:t>.</w:t>
      </w:r>
      <w:r>
        <w:rPr>
          <w:rFonts w:hint="cs"/>
          <w:rtl/>
        </w:rPr>
        <w:t xml:space="preserve"> הצעת חוק </w:t>
      </w:r>
      <w:r w:rsidR="001A3759">
        <w:rPr>
          <w:rFonts w:hint="cs"/>
          <w:rtl/>
        </w:rPr>
        <w:t xml:space="preserve">דומה בעיקרה </w:t>
      </w:r>
      <w:r w:rsidR="00AC72CF">
        <w:rPr>
          <w:rFonts w:hint="cs"/>
          <w:rtl/>
        </w:rPr>
        <w:t xml:space="preserve">הונחה על שולחן הכנסת התשע-עשרה על ידי </w:t>
      </w:r>
      <w:proofErr w:type="spellStart"/>
      <w:r w:rsidR="00AC72CF">
        <w:rPr>
          <w:rFonts w:hint="cs"/>
          <w:rtl/>
        </w:rPr>
        <w:t>חבר</w:t>
      </w:r>
      <w:r>
        <w:rPr>
          <w:rFonts w:hint="cs"/>
          <w:rtl/>
        </w:rPr>
        <w:t>הכנסת</w:t>
      </w:r>
      <w:proofErr w:type="spellEnd"/>
      <w:r>
        <w:rPr>
          <w:rFonts w:hint="cs"/>
          <w:rtl/>
        </w:rPr>
        <w:t xml:space="preserve"> בועז טופורובסקי וקבוצת חברי </w:t>
      </w:r>
      <w:r w:rsidR="00E27747">
        <w:rPr>
          <w:rFonts w:hint="cs"/>
          <w:rtl/>
        </w:rPr>
        <w:t>ה</w:t>
      </w:r>
      <w:r>
        <w:rPr>
          <w:rFonts w:hint="cs"/>
          <w:rtl/>
        </w:rPr>
        <w:t>כנסת (</w:t>
      </w:r>
      <w:r>
        <w:rPr>
          <w:rFonts w:hint="cs"/>
          <w:sz w:val="26"/>
          <w:rtl/>
        </w:rPr>
        <w:t>פ/2239/19</w:t>
      </w:r>
      <w:r>
        <w:rPr>
          <w:rFonts w:hint="cs"/>
          <w:rtl/>
        </w:rPr>
        <w:t xml:space="preserve">). </w:t>
      </w:r>
    </w:p>
    <w:p w14:paraId="16F9774D" w14:textId="77777777" w:rsidR="00AC72CF" w:rsidRDefault="00AC72CF" w:rsidP="00AC72CF">
      <w:pPr>
        <w:pStyle w:val="Hesber"/>
        <w:rPr>
          <w:rtl/>
        </w:rPr>
      </w:pPr>
    </w:p>
    <w:p w14:paraId="036CC4CC" w14:textId="77777777" w:rsidR="00AC72CF" w:rsidRDefault="00AC72CF" w:rsidP="00AC72CF">
      <w:pPr>
        <w:pStyle w:val="Hesber"/>
        <w:rPr>
          <w:rtl/>
        </w:rPr>
      </w:pPr>
    </w:p>
    <w:p w14:paraId="024A6075" w14:textId="77777777" w:rsidR="00AC72CF" w:rsidRPr="00557D2C" w:rsidRDefault="00AC72CF" w:rsidP="007D273A">
      <w:pPr>
        <w:pStyle w:val="Hesber"/>
        <w:rPr>
          <w:rtl/>
        </w:rPr>
      </w:pPr>
      <w:r w:rsidRPr="00557D2C">
        <w:rPr>
          <w:rtl/>
        </w:rPr>
        <w:t>---------------------------------</w:t>
      </w:r>
    </w:p>
    <w:p w14:paraId="7A63092B" w14:textId="77777777" w:rsidR="00AC72CF" w:rsidRPr="00557D2C" w:rsidRDefault="00AC72CF" w:rsidP="007D273A">
      <w:pPr>
        <w:pStyle w:val="Hesber"/>
        <w:rPr>
          <w:rtl/>
        </w:rPr>
      </w:pPr>
      <w:r w:rsidRPr="00557D2C">
        <w:rPr>
          <w:rtl/>
        </w:rPr>
        <w:t>הוגשה ליו"ר הכנסת והסגנים</w:t>
      </w:r>
    </w:p>
    <w:p w14:paraId="4463BE52" w14:textId="77777777" w:rsidR="00AC72CF" w:rsidRPr="00557D2C" w:rsidRDefault="00AC72CF" w:rsidP="007D273A">
      <w:pPr>
        <w:pStyle w:val="Hesber"/>
        <w:rPr>
          <w:rtl/>
        </w:rPr>
      </w:pPr>
      <w:r w:rsidRPr="00557D2C">
        <w:rPr>
          <w:rtl/>
        </w:rPr>
        <w:t>והונחה על שולחן הכנסת ביום</w:t>
      </w:r>
    </w:p>
    <w:p w14:paraId="68A25918" w14:textId="4379B4E8" w:rsidR="00AC72CF" w:rsidRDefault="00AC72CF" w:rsidP="00AC72CF">
      <w:pPr>
        <w:pStyle w:val="Hesber"/>
        <w:rPr>
          <w:rtl/>
        </w:rPr>
      </w:pPr>
      <w:r>
        <w:rPr>
          <w:rFonts w:hint="cs"/>
          <w:rtl/>
        </w:rPr>
        <w:t>י"א</w:t>
      </w:r>
      <w:r w:rsidRPr="00557D2C">
        <w:rPr>
          <w:rFonts w:hint="cs"/>
          <w:rtl/>
        </w:rPr>
        <w:t xml:space="preserve"> </w:t>
      </w:r>
      <w:r>
        <w:rPr>
          <w:rFonts w:hint="cs"/>
          <w:rtl/>
        </w:rPr>
        <w:t xml:space="preserve">באב </w:t>
      </w:r>
      <w:r w:rsidRPr="00557D2C">
        <w:rPr>
          <w:rFonts w:hint="cs"/>
          <w:rtl/>
        </w:rPr>
        <w:t xml:space="preserve">התשע"ה </w:t>
      </w:r>
      <w:r w:rsidRPr="00557D2C">
        <w:rPr>
          <w:rtl/>
        </w:rPr>
        <w:t>–</w:t>
      </w:r>
      <w:r>
        <w:rPr>
          <w:rFonts w:hint="cs"/>
          <w:rtl/>
        </w:rPr>
        <w:t xml:space="preserve"> 27.7.15</w:t>
      </w:r>
    </w:p>
    <w:p w14:paraId="7F6961CB" w14:textId="77777777" w:rsidR="00E13C27" w:rsidRDefault="00E13C27" w:rsidP="00E13C27">
      <w:pPr>
        <w:pStyle w:val="Hesber"/>
        <w:rPr>
          <w:rtl/>
        </w:rPr>
      </w:pPr>
    </w:p>
    <w:sectPr w:rsidR="00E13C27" w:rsidSect="001207F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3D19F0">
      <w:rPr>
        <w:rStyle w:val="ab"/>
        <w:noProof/>
        <w:rtl/>
      </w:rPr>
      <w:t>2</w:t>
    </w:r>
    <w:r>
      <w:rPr>
        <w:rStyle w:val="ab"/>
        <w:rtl/>
      </w:rPr>
      <w:fldChar w:fldCharType="end"/>
    </w:r>
  </w:p>
  <w:p w14:paraId="7F6961D8" w14:textId="77777777" w:rsidR="002C3041" w:rsidRDefault="002C304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8E90" w14:textId="77777777" w:rsidR="003D19F0" w:rsidRDefault="003D19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44C0F835" w14:textId="77777777" w:rsidR="006B6D3A" w:rsidRDefault="006B6D3A" w:rsidP="006B6D3A">
      <w:pPr>
        <w:pStyle w:val="a4"/>
        <w:rPr>
          <w:rtl/>
        </w:rPr>
      </w:pPr>
      <w:r>
        <w:rPr>
          <w:rStyle w:val="a6"/>
        </w:rPr>
        <w:footnoteRef/>
      </w:r>
      <w:r>
        <w:rPr>
          <w:rtl/>
        </w:rPr>
        <w:t xml:space="preserve"> </w:t>
      </w:r>
      <w:r>
        <w:rPr>
          <w:sz w:val="20"/>
          <w:rtl/>
        </w:rPr>
        <w:t>דיני מדינת ישראל, נוסח חדש 8, עמ'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379FF" w14:textId="77777777" w:rsidR="003D19F0" w:rsidRDefault="003D19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5EFC" w14:textId="77777777" w:rsidR="003D19F0" w:rsidRDefault="003D19F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B578" w14:textId="77777777" w:rsidR="003D19F0" w:rsidRDefault="003D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A3759"/>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19F0"/>
    <w:rsid w:val="003D6E38"/>
    <w:rsid w:val="003D74A0"/>
    <w:rsid w:val="004033D8"/>
    <w:rsid w:val="004073F0"/>
    <w:rsid w:val="00412A7D"/>
    <w:rsid w:val="00416B4D"/>
    <w:rsid w:val="00417CFC"/>
    <w:rsid w:val="00436351"/>
    <w:rsid w:val="0046568C"/>
    <w:rsid w:val="00493EDF"/>
    <w:rsid w:val="004A06DC"/>
    <w:rsid w:val="004B24ED"/>
    <w:rsid w:val="004B6625"/>
    <w:rsid w:val="004D2D82"/>
    <w:rsid w:val="004D3876"/>
    <w:rsid w:val="004E4552"/>
    <w:rsid w:val="004E4608"/>
    <w:rsid w:val="004E6CDF"/>
    <w:rsid w:val="004F1529"/>
    <w:rsid w:val="00553C9D"/>
    <w:rsid w:val="00562A66"/>
    <w:rsid w:val="005B064E"/>
    <w:rsid w:val="005D51AE"/>
    <w:rsid w:val="006132CE"/>
    <w:rsid w:val="0062674B"/>
    <w:rsid w:val="006363B2"/>
    <w:rsid w:val="00644940"/>
    <w:rsid w:val="006818A9"/>
    <w:rsid w:val="006A2D81"/>
    <w:rsid w:val="006B6D3A"/>
    <w:rsid w:val="006C1D0D"/>
    <w:rsid w:val="006E67CF"/>
    <w:rsid w:val="0070601E"/>
    <w:rsid w:val="00712C72"/>
    <w:rsid w:val="00735FE9"/>
    <w:rsid w:val="00763CAA"/>
    <w:rsid w:val="00765F66"/>
    <w:rsid w:val="0078664F"/>
    <w:rsid w:val="007C3FA6"/>
    <w:rsid w:val="007D585A"/>
    <w:rsid w:val="007D5A12"/>
    <w:rsid w:val="007E3262"/>
    <w:rsid w:val="007E59F9"/>
    <w:rsid w:val="00810BCD"/>
    <w:rsid w:val="00812C98"/>
    <w:rsid w:val="00814D92"/>
    <w:rsid w:val="00827A30"/>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1A7E"/>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A7830"/>
    <w:rsid w:val="009D6E0A"/>
    <w:rsid w:val="009E1E33"/>
    <w:rsid w:val="00A14672"/>
    <w:rsid w:val="00A26BD6"/>
    <w:rsid w:val="00A443CF"/>
    <w:rsid w:val="00A6611D"/>
    <w:rsid w:val="00A82CB7"/>
    <w:rsid w:val="00A942C1"/>
    <w:rsid w:val="00AA2F03"/>
    <w:rsid w:val="00AC36F7"/>
    <w:rsid w:val="00AC4D68"/>
    <w:rsid w:val="00AC63A4"/>
    <w:rsid w:val="00AC72CF"/>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27747"/>
    <w:rsid w:val="00E33BBD"/>
    <w:rsid w:val="00E374F2"/>
    <w:rsid w:val="00E45103"/>
    <w:rsid w:val="00E55A60"/>
    <w:rsid w:val="00E62778"/>
    <w:rsid w:val="00E63D38"/>
    <w:rsid w:val="00E665B9"/>
    <w:rsid w:val="00EA01E6"/>
    <w:rsid w:val="00EA3DE8"/>
    <w:rsid w:val="00EA758F"/>
    <w:rsid w:val="00ED4A6F"/>
    <w:rsid w:val="00EF3A3A"/>
    <w:rsid w:val="00F51187"/>
    <w:rsid w:val="00F628D6"/>
    <w:rsid w:val="00F6613F"/>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6B6D3A"/>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6B6D3A"/>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Number xmlns="f7660851-4ffa-4136-bafb-a5c8c40811cf">00923716</AutoNumber>
    <SDDocumentSource xmlns="f7660851-4ffa-4136-bafb-a5c8c40811cf">OfficeAddIn</SDDocumentSource>
    <SDLastSigningDate xmlns="f7660851-4ffa-4136-bafb-a5c8c40811cf" xsi:nil="true"/>
    <SDDocDate xmlns="f7660851-4ffa-4136-bafb-a5c8c40811cf">2016-02-28T23:00:00+00:00</SDDocDate>
    <SDSignersLogins xmlns="f7660851-4ffa-4136-bafb-a5c8c40811cf" xsi:nil="true"/>
    <SDCategories xmlns="f7660851-4ffa-4136-bafb-a5c8c40811cf">:ועדות:ועדת הכספים:ספר סיכום הכנסת ה- 20 - תיקי ועדה:הצעות חוק פרטיות:(תיק 04) - הצעת חוק לתיקון פקודת העיריות (קיצור תקופת הפטור מתשלום ארנונה לבניין שנהרס או ניזוק וקביעת סכום מרבי לתשלום), התשע''ה–2015 (פ/1903/20) - 16.12.15;#</SDCategories>
    <SDHebDate xmlns="f7660851-4ffa-4136-bafb-a5c8c40811cf">כ' באדר א', התשע"ו</SDHebDate>
    <SDAsmachta xmlns="f7660851-4ffa-4136-bafb-a5c8c40811cf" xsi:nil="true"/>
    <SDNumOfSignatures xmlns="f7660851-4ffa-4136-bafb-a5c8c40811cf" xsi:nil="true"/>
    <SDAuthor xmlns="f7660851-4ffa-4136-bafb-a5c8c40811cf">מיכל יצחקוב</SDAuthor>
    <SDOfflineTo xmlns="f7660851-4ffa-4136-bafb-a5c8c40811cf" xsi:nil="true"/>
    <SDCategoryID xmlns="f7660851-4ffa-4136-bafb-a5c8c40811cf">df74f3571331;#</SDCategoryID>
    <SDImportance xmlns="f7660851-4ffa-4136-bafb-a5c8c40811cf">0</SDImportance>
    <SDOriginalID xmlns="f7660851-4ffa-4136-bafb-a5c8c40811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בסיס" ma:contentTypeID="0x0101003DB97391C1CEB348B84752B00E69F51F00E64BDFB92E3F8240B311B56B4AB54FE7" ma:contentTypeVersion="16" ma:contentTypeDescription="צור מסמך חדש." ma:contentTypeScope="" ma:versionID="48ec1468878751375992cf84cc1c0f63">
  <xsd:schema xmlns:xsd="http://www.w3.org/2001/XMLSchema" xmlns:p="http://schemas.microsoft.com/office/2006/metadata/properties" xmlns:ns2="f7660851-4ffa-4136-bafb-a5c8c40811cf" targetNamespace="http://schemas.microsoft.com/office/2006/metadata/properties" ma:root="true" ma:fieldsID="b566cb038c118868def013af127f399f" ns2:_="">
    <xsd:import namespace="f7660851-4ffa-4136-bafb-a5c8c40811cf"/>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f7660851-4ffa-4136-bafb-a5c8c40811cf"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מזהה נושא"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תאריך עברי" ma:internalName="SDHebDate">
      <xsd:simpleType>
        <xsd:restriction base="dms:Text"/>
      </xsd:simpleType>
    </xsd:element>
    <xsd:element name="SDOriginalID" ma:index="14" nillable="true" ma:displayName="סימוכין מקורי" ma:internalName="SDOriginalID">
      <xsd:simpleType>
        <xsd:restriction base="dms:Text"/>
      </xsd:simpleType>
    </xsd:element>
    <xsd:element name="SDOfflineTo" ma:index="15" nillable="true" ma:displayName="הוצא אל" ma:internalName="SDOfflineTo">
      <xsd:simpleType>
        <xsd:restriction base="dms:Text"/>
      </xsd:simpleType>
    </xsd:element>
    <xsd:element name="SDAsmachta" ma:index="16" nillable="true" ma:displayName="אסמכתא" ma:internalName="SDAsmachta">
      <xsd:simpleType>
        <xsd:restriction base="dms:Text"/>
      </xsd:simpleType>
    </xsd:element>
    <xsd:element name="SDImportance" ma:index="17" nillable="true" ma:displayName="חשיבות" ma:internalName="SDImportance">
      <xsd:simpleType>
        <xsd:restriction base="dms:Number"/>
      </xsd:simpleType>
    </xsd:element>
    <xsd:element name="SDDocumentSource" ma:index="18"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19" nillable="true" ma:displayName="תאריך חתימה אחרון " ma:internalName="SDLastSigningDate">
      <xsd:simpleType>
        <xsd:restriction base="dms:DateTime"/>
      </xsd:simpleType>
    </xsd:element>
    <xsd:element name="SDNumOfSignatures" ma:index="20" nillable="true" ma:displayName="מספר חתימות" ma:internalName="SDNumOfSignatures">
      <xsd:simpleType>
        <xsd:restriction base="dms:Number"/>
      </xsd:simpleType>
    </xsd:element>
    <xsd:element name="SDSignersLogins" ma:index="21" nillable="true" ma:displayName="חותם המסמך" ma:internalName="SDSignersLogin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 ds:uri="f7660851-4ffa-4136-bafb-a5c8c40811cf"/>
  </ds:schemaRefs>
</ds:datastoreItem>
</file>

<file path=customXml/itemProps3.xml><?xml version="1.0" encoding="utf-8"?>
<ds:datastoreItem xmlns:ds="http://schemas.openxmlformats.org/officeDocument/2006/customXml" ds:itemID="{C1C80DAB-4629-4733-B111-6A5867F1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0851-4ffa-4136-bafb-a5c8c40811c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63D147-DBE8-447D-B56A-507B2B12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1643</Characters>
  <Application>Microsoft Office Word</Application>
  <DocSecurity>0</DocSecurity>
  <Lines>74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הצעת חוק לתיקון פקודת העיריות (קיצור תקופת הפטור מתשלום ארנונה לבניין שנהרס או ניזוק וקביעת סכום מרבי לתשלום), התשע"ה–2015 (פ/1903/20)</dc:title>
  <dc:creator>מיקה צור</dc:creator>
  <cp:lastModifiedBy>מיכל יצחקוב</cp:lastModifiedBy>
  <cp:revision>3</cp:revision>
  <cp:lastPrinted>2015-07-23T05:31:00Z</cp:lastPrinted>
  <dcterms:created xsi:type="dcterms:W3CDTF">2016-02-29T14:26:00Z</dcterms:created>
  <dcterms:modified xsi:type="dcterms:W3CDTF">2016-03-02T12:46:00Z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0x0101003DB97391C1CEB348B84752B00E69F51F00E64BDFB92E3F8240B311B56B4AB54FE7</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565074</vt:r8>
  </property>
  <property fmtid="{D5CDD505-2E9C-101B-9397-08002B2CF9AE}" pid="6" name="ContentType">
    <vt:lpwstr>בסיס</vt:lpwstr>
  </property>
  <property fmtid="{D5CDD505-2E9C-101B-9397-08002B2CF9AE}" pid="7" name="SDCategoryID">
    <vt:lpwstr>df74f3571331;#</vt:lpwstr>
  </property>
  <property fmtid="{D5CDD505-2E9C-101B-9397-08002B2CF9AE}" pid="8" name="z">
    <vt:lpwstr>#RowsetSchema</vt:lpwstr>
  </property>
  <property fmtid="{D5CDD505-2E9C-101B-9397-08002B2CF9AE}" pid="9" name="Author">
    <vt:lpwstr>1210;#מיכל יצחקוב</vt:lpwstr>
  </property>
  <property fmtid="{D5CDD505-2E9C-101B-9397-08002B2CF9AE}" pid="10" name="FileLeafRef">
    <vt:lpwstr>431;#00923716.docx</vt:lpwstr>
  </property>
  <property fmtid="{D5CDD505-2E9C-101B-9397-08002B2CF9AE}" pid="11" name="Modified_x0020_By">
    <vt:lpwstr>LAN_KNESSET\michali</vt:lpwstr>
  </property>
  <property fmtid="{D5CDD505-2E9C-101B-9397-08002B2CF9AE}" pid="12" name="Created_x0020_By">
    <vt:lpwstr>LAN_KNESSET\michali</vt:lpwstr>
  </property>
  <property fmtid="{D5CDD505-2E9C-101B-9397-08002B2CF9AE}" pid="13" name="File_x0020_Type">
    <vt:lpwstr>docx</vt:lpwstr>
  </property>
  <property fmtid="{D5CDD505-2E9C-101B-9397-08002B2CF9AE}" pid="14" name="AutoNumber">
    <vt:lpwstr>00923716</vt:lpwstr>
  </property>
  <property fmtid="{D5CDD505-2E9C-101B-9397-08002B2CF9AE}" pid="15" name="SDCategories">
    <vt:lpwstr>:ועדות:ועדת הכספים:ספר סיכום הכנסת ה- 20 - תיקי ועדה:הצעות חוק פרטיות:(תיק 04) - הצעת חוק לתיקון פקודת העיריות (קיצור תקופת הפטור מתשלום ארנונה לבניין שנהרס או ניזוק וקביעת סכום מרבי לתשלום), התשע''ה–2015 (פ/1903/20) - 16.12.15;#</vt:lpwstr>
  </property>
  <property fmtid="{D5CDD505-2E9C-101B-9397-08002B2CF9AE}" pid="16" name="SDAuthor">
    <vt:lpwstr>מיכל יצחקוב</vt:lpwstr>
  </property>
  <property fmtid="{D5CDD505-2E9C-101B-9397-08002B2CF9AE}" pid="17" name="SDDocDate">
    <vt:lpwstr>29/02/2016</vt:lpwstr>
  </property>
  <property fmtid="{D5CDD505-2E9C-101B-9397-08002B2CF9AE}" pid="18" name="SDHebDate">
    <vt:lpwstr>כ' באדר א', התשע"ו</vt:lpwstr>
  </property>
  <property fmtid="{D5CDD505-2E9C-101B-9397-08002B2CF9AE}" pid="19" name="SDImportance">
    <vt:lpwstr>0</vt:lpwstr>
  </property>
  <property fmtid="{D5CDD505-2E9C-101B-9397-08002B2CF9AE}" pid="20" name="SDDocumentSource">
    <vt:lpwstr>OfficeAddIn</vt:lpwstr>
  </property>
  <property fmtid="{D5CDD505-2E9C-101B-9397-08002B2CF9AE}" pid="21" name="ID">
    <vt:lpwstr>431</vt:lpwstr>
  </property>
  <property fmtid="{D5CDD505-2E9C-101B-9397-08002B2CF9AE}" pid="22" name="Created">
    <vt:lpwstr>29/02/2016</vt:lpwstr>
  </property>
  <property fmtid="{D5CDD505-2E9C-101B-9397-08002B2CF9AE}" pid="23" name="Modified">
    <vt:lpwstr>29/02/2016</vt:lpwstr>
  </property>
  <property fmtid="{D5CDD505-2E9C-101B-9397-08002B2CF9AE}" pid="24" name="Editor">
    <vt:lpwstr>1210;#מיכל יצחקוב</vt:lpwstr>
  </property>
  <property fmtid="{D5CDD505-2E9C-101B-9397-08002B2CF9AE}" pid="25" name="_ModerationStatus">
    <vt:lpwstr>0</vt:lpwstr>
  </property>
  <property fmtid="{D5CDD505-2E9C-101B-9397-08002B2CF9AE}" pid="26" name="FileRef">
    <vt:lpwstr>431;#sites/VEADOT/VaadatKsafim/DocLib9/DocLib9 automatically created by sharedocs 1/00923716.docx</vt:lpwstr>
  </property>
  <property fmtid="{D5CDD505-2E9C-101B-9397-08002B2CF9AE}" pid="27" name="FileDirRef">
    <vt:lpwstr>431;#sites/VEADOT/VaadatKsafim/DocLib9/DocLib9 automatically created by sharedocs 1</vt:lpwstr>
  </property>
  <property fmtid="{D5CDD505-2E9C-101B-9397-08002B2CF9AE}" pid="28" name="Last_x0020_Modified">
    <vt:lpwstr>431;#2016-02-29 16:26:22</vt:lpwstr>
  </property>
  <property fmtid="{D5CDD505-2E9C-101B-9397-08002B2CF9AE}" pid="29" name="Created_x0020_Date">
    <vt:lpwstr>431;#2016-02-29 16:26:22</vt:lpwstr>
  </property>
  <property fmtid="{D5CDD505-2E9C-101B-9397-08002B2CF9AE}" pid="30" name="File_x0020_Size">
    <vt:lpwstr>431;#39799</vt:lpwstr>
  </property>
  <property fmtid="{D5CDD505-2E9C-101B-9397-08002B2CF9AE}" pid="31" name="FSObjType">
    <vt:lpwstr>431;#0</vt:lpwstr>
  </property>
  <property fmtid="{D5CDD505-2E9C-101B-9397-08002B2CF9AE}" pid="32" name="PermMask">
    <vt:lpwstr>0x1b03c5f1bff</vt:lpwstr>
  </property>
  <property fmtid="{D5CDD505-2E9C-101B-9397-08002B2CF9AE}" pid="33" name="CheckedOutUserId">
    <vt:lpwstr>431;#</vt:lpwstr>
  </property>
  <property fmtid="{D5CDD505-2E9C-101B-9397-08002B2CF9AE}" pid="34" name="IsCheckedoutToLocal">
    <vt:lpwstr>431;#0</vt:lpwstr>
  </property>
  <property fmtid="{D5CDD505-2E9C-101B-9397-08002B2CF9AE}" pid="35" name="UniqueId">
    <vt:lpwstr>431;#{65A331FC-429D-46EE-9291-C32E3DC71A04}</vt:lpwstr>
  </property>
  <property fmtid="{D5CDD505-2E9C-101B-9397-08002B2CF9AE}" pid="36" name="ProgId">
    <vt:lpwstr>431;#</vt:lpwstr>
  </property>
  <property fmtid="{D5CDD505-2E9C-101B-9397-08002B2CF9AE}" pid="37" name="ScopeId">
    <vt:lpwstr>431;#{8D759270-68F4-4828-B1B7-E0DF846C5364}</vt:lpwstr>
  </property>
  <property fmtid="{D5CDD505-2E9C-101B-9397-08002B2CF9AE}" pid="38" name="VirusStatus">
    <vt:lpwstr>431;#39799</vt:lpwstr>
  </property>
  <property fmtid="{D5CDD505-2E9C-101B-9397-08002B2CF9AE}" pid="39" name="CheckedOutTitle">
    <vt:lpwstr>431;#</vt:lpwstr>
  </property>
  <property fmtid="{D5CDD505-2E9C-101B-9397-08002B2CF9AE}" pid="40" name="_CheckinComment">
    <vt:lpwstr>431;#</vt:lpwstr>
  </property>
  <property fmtid="{D5CDD505-2E9C-101B-9397-08002B2CF9AE}" pid="41" name="_EditMenuTableStart">
    <vt:lpwstr>00923716.docx</vt:lpwstr>
  </property>
  <property fmtid="{D5CDD505-2E9C-101B-9397-08002B2CF9AE}" pid="42" name="_EditMenuTableEnd">
    <vt:lpwstr>431</vt:lpwstr>
  </property>
  <property fmtid="{D5CDD505-2E9C-101B-9397-08002B2CF9AE}" pid="43" name="LinkFilenameNoMenu">
    <vt:lpwstr>00923716.docx</vt:lpwstr>
  </property>
  <property fmtid="{D5CDD505-2E9C-101B-9397-08002B2CF9AE}" pid="44" name="LinkFilename">
    <vt:lpwstr>00923716.docx</vt:lpwstr>
  </property>
  <property fmtid="{D5CDD505-2E9C-101B-9397-08002B2CF9AE}" pid="45" name="DocIcon">
    <vt:lpwstr>docx</vt:lpwstr>
  </property>
  <property fmtid="{D5CDD505-2E9C-101B-9397-08002B2CF9AE}" pid="46" name="ServerUrl">
    <vt:lpwstr>/sites/VEADOT/VaadatKsafim/DocLib9/DocLib9 automatically created by sharedocs 1/00923716.docx</vt:lpwstr>
  </property>
  <property fmtid="{D5CDD505-2E9C-101B-9397-08002B2CF9AE}" pid="47" name="EncodedAbsUrl">
    <vt:lpwstr>http://sd3portal/sites/VEADOT/VaadatKsafim/DocLib9/DocLib9%20automatically%20created%20by%20sharedocs%201/00923716.docx</vt:lpwstr>
  </property>
  <property fmtid="{D5CDD505-2E9C-101B-9397-08002B2CF9AE}" pid="48" name="BaseName">
    <vt:lpwstr>00923716</vt:lpwstr>
  </property>
  <property fmtid="{D5CDD505-2E9C-101B-9397-08002B2CF9AE}" pid="49" name="FileSizeDisplay">
    <vt:lpwstr>39799</vt:lpwstr>
  </property>
  <property fmtid="{D5CDD505-2E9C-101B-9397-08002B2CF9AE}" pid="50" name="MetaInfo">
    <vt:lpwstr>431;#SanhedrinItemID:DW|565074.000000000
vti_parserversion:SR|12.0.0.6662
SDCategories:LW|:ועדות:ועדת הכספים:ספר סיכום הכנסת ה- 20 - תיקי ועדה:הצעות חוק פרטיות:(תיק 04) - הצעת חוק לתיקון פקודת העיריות (קיצור תקופת הפטור מתשלום ארנונה לבניין שנהרס או ניזוק</vt:lpwstr>
  </property>
  <property fmtid="{D5CDD505-2E9C-101B-9397-08002B2CF9AE}" pid="51" name="_Level">
    <vt:lpwstr>1</vt:lpwstr>
  </property>
  <property fmtid="{D5CDD505-2E9C-101B-9397-08002B2CF9AE}" pid="52" name="_IsCurrentVersion">
    <vt:lpwstr>1</vt:lpwstr>
  </property>
  <property fmtid="{D5CDD505-2E9C-101B-9397-08002B2CF9AE}" pid="53" name="SelectTitle">
    <vt:lpwstr>431</vt:lpwstr>
  </property>
  <property fmtid="{D5CDD505-2E9C-101B-9397-08002B2CF9AE}" pid="54" name="SelectFilename">
    <vt:lpwstr>431</vt:lpwstr>
  </property>
  <property fmtid="{D5CDD505-2E9C-101B-9397-08002B2CF9AE}" pid="55" name="Edit">
    <vt:lpwstr>0</vt:lpwstr>
  </property>
  <property fmtid="{D5CDD505-2E9C-101B-9397-08002B2CF9AE}" pid="56" name="owshiddenversion">
    <vt:lpwstr>1</vt:lpwstr>
  </property>
  <property fmtid="{D5CDD505-2E9C-101B-9397-08002B2CF9AE}" pid="57" name="_UIVersion">
    <vt:lpwstr>512</vt:lpwstr>
  </property>
  <property fmtid="{D5CDD505-2E9C-101B-9397-08002B2CF9AE}" pid="58" name="_UIVersionString">
    <vt:lpwstr>1.0</vt:lpwstr>
  </property>
  <property fmtid="{D5CDD505-2E9C-101B-9397-08002B2CF9AE}" pid="59" name="Order">
    <vt:lpwstr>43100.0000000000</vt:lpwstr>
  </property>
  <property fmtid="{D5CDD505-2E9C-101B-9397-08002B2CF9AE}" pid="60" name="GUID">
    <vt:lpwstr>{2EA6568C-8AD0-4305-883D-1149EDE0B58C}</vt:lpwstr>
  </property>
  <property fmtid="{D5CDD505-2E9C-101B-9397-08002B2CF9AE}" pid="61" name="WorkflowVersion">
    <vt:lpwstr>1</vt:lpwstr>
  </property>
  <property fmtid="{D5CDD505-2E9C-101B-9397-08002B2CF9AE}" pid="62" name="ParentVersionString">
    <vt:lpwstr>431;#</vt:lpwstr>
  </property>
  <property fmtid="{D5CDD505-2E9C-101B-9397-08002B2CF9AE}" pid="63" name="ParentLeafName">
    <vt:lpwstr>431;#</vt:lpwstr>
  </property>
  <property fmtid="{D5CDD505-2E9C-101B-9397-08002B2CF9AE}" pid="64" name="Combine">
    <vt:lpwstr>0</vt:lpwstr>
  </property>
  <property fmtid="{D5CDD505-2E9C-101B-9397-08002B2CF9AE}" pid="65" name="RepairDocument">
    <vt:lpwstr>0</vt:lpwstr>
  </property>
  <property fmtid="{D5CDD505-2E9C-101B-9397-08002B2CF9AE}" pid="66" name="ServerRedirected">
    <vt:lpwstr>0</vt:lpwstr>
  </property>
</Properties>
</file>