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2D" w:rsidRDefault="009A312D" w:rsidP="009A312D">
      <w:pPr>
        <w:pStyle w:val="TableBlock"/>
        <w:rPr>
          <w:rFonts w:hint="cs"/>
          <w:b/>
          <w:bCs/>
          <w:sz w:val="24"/>
          <w:szCs w:val="24"/>
          <w:rtl/>
        </w:rPr>
      </w:pPr>
    </w:p>
    <w:p w:rsidR="009A312D" w:rsidRPr="003657E6" w:rsidRDefault="009A312D" w:rsidP="00A34AA2">
      <w:pPr>
        <w:pStyle w:val="TableBlock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צו הדואר</w:t>
      </w:r>
      <w:r w:rsidR="00405368">
        <w:rPr>
          <w:rFonts w:hint="cs"/>
          <w:b/>
          <w:bCs/>
          <w:sz w:val="24"/>
          <w:szCs w:val="24"/>
          <w:rtl/>
        </w:rPr>
        <w:t xml:space="preserve"> (</w:t>
      </w:r>
      <w:r w:rsidR="009542A7">
        <w:rPr>
          <w:rFonts w:hint="cs"/>
          <w:b/>
          <w:bCs/>
          <w:sz w:val="24"/>
          <w:szCs w:val="24"/>
          <w:rtl/>
        </w:rPr>
        <w:t xml:space="preserve">תיקון </w:t>
      </w:r>
      <w:r w:rsidR="00405368">
        <w:rPr>
          <w:rFonts w:hint="cs"/>
          <w:b/>
          <w:bCs/>
          <w:sz w:val="24"/>
          <w:szCs w:val="24"/>
          <w:rtl/>
        </w:rPr>
        <w:t>התוספת לחוק)</w:t>
      </w:r>
      <w:r>
        <w:rPr>
          <w:rFonts w:hint="cs"/>
          <w:b/>
          <w:bCs/>
          <w:sz w:val="24"/>
          <w:szCs w:val="24"/>
          <w:rtl/>
        </w:rPr>
        <w:t>,</w:t>
      </w:r>
      <w:r w:rsidRPr="003657E6">
        <w:rPr>
          <w:rFonts w:hint="cs"/>
          <w:b/>
          <w:bCs/>
          <w:sz w:val="24"/>
          <w:szCs w:val="24"/>
          <w:rtl/>
        </w:rPr>
        <w:t xml:space="preserve"> התשע"</w:t>
      </w:r>
      <w:r w:rsidR="00A34AA2">
        <w:rPr>
          <w:rFonts w:hint="cs"/>
          <w:b/>
          <w:bCs/>
          <w:sz w:val="24"/>
          <w:szCs w:val="24"/>
          <w:rtl/>
        </w:rPr>
        <w:t>ו</w:t>
      </w:r>
      <w:r w:rsidR="00AC0441">
        <w:rPr>
          <w:rFonts w:hint="cs"/>
          <w:b/>
          <w:bCs/>
          <w:sz w:val="24"/>
          <w:szCs w:val="24"/>
          <w:rtl/>
        </w:rPr>
        <w:t xml:space="preserve">- </w:t>
      </w:r>
      <w:r w:rsidR="00EF0B02">
        <w:rPr>
          <w:rFonts w:hint="cs"/>
          <w:b/>
          <w:bCs/>
          <w:sz w:val="24"/>
          <w:szCs w:val="24"/>
          <w:rtl/>
        </w:rPr>
        <w:t>2015</w:t>
      </w:r>
    </w:p>
    <w:p w:rsidR="009A312D" w:rsidRDefault="009A312D" w:rsidP="009A312D">
      <w:pPr>
        <w:rPr>
          <w:rFonts w:cs="David"/>
          <w:b/>
          <w:bCs/>
          <w:sz w:val="24"/>
          <w:szCs w:val="24"/>
          <w:rtl/>
        </w:rPr>
      </w:pPr>
    </w:p>
    <w:p w:rsidR="009A312D" w:rsidRPr="003657E6" w:rsidRDefault="009A312D" w:rsidP="009A312D">
      <w:pPr>
        <w:rPr>
          <w:rFonts w:cs="David"/>
          <w:b/>
          <w:bCs/>
          <w:sz w:val="24"/>
          <w:szCs w:val="24"/>
          <w:rtl/>
        </w:rPr>
      </w:pPr>
    </w:p>
    <w:p w:rsidR="009A312D" w:rsidRPr="009911BA" w:rsidRDefault="009A312D" w:rsidP="001E2AE4">
      <w:pPr>
        <w:ind w:firstLine="0"/>
        <w:rPr>
          <w:rFonts w:cs="David"/>
          <w:sz w:val="24"/>
          <w:szCs w:val="24"/>
          <w:rtl/>
        </w:rPr>
      </w:pPr>
      <w:r w:rsidRPr="00F035FF">
        <w:rPr>
          <w:rFonts w:cs="David" w:hint="cs"/>
          <w:sz w:val="24"/>
          <w:szCs w:val="24"/>
          <w:rtl/>
        </w:rPr>
        <w:t>בתוקף סמכותי לפי סעיפים 37(</w:t>
      </w:r>
      <w:r w:rsidR="00405368">
        <w:rPr>
          <w:rFonts w:cs="David" w:hint="cs"/>
          <w:sz w:val="24"/>
          <w:szCs w:val="24"/>
          <w:rtl/>
        </w:rPr>
        <w:t>ב</w:t>
      </w:r>
      <w:r w:rsidRPr="00F035FF">
        <w:rPr>
          <w:rFonts w:cs="David" w:hint="cs"/>
          <w:sz w:val="24"/>
          <w:szCs w:val="24"/>
          <w:rtl/>
        </w:rPr>
        <w:t xml:space="preserve">) ו-126(א) </w:t>
      </w:r>
      <w:r w:rsidRPr="00F035FF">
        <w:rPr>
          <w:rFonts w:ascii="Arial" w:eastAsia="Arial Unicode MS" w:hAnsi="Arial" w:cs="David" w:hint="cs"/>
          <w:snapToGrid w:val="0"/>
          <w:sz w:val="24"/>
          <w:szCs w:val="24"/>
          <w:rtl/>
        </w:rPr>
        <w:t>לחוק</w:t>
      </w:r>
      <w:r w:rsidRPr="00F035FF">
        <w:rPr>
          <w:rFonts w:cs="David" w:hint="cs"/>
          <w:sz w:val="24"/>
          <w:szCs w:val="24"/>
          <w:rtl/>
        </w:rPr>
        <w:t xml:space="preserve"> הדואר, התשמ"ו-1986</w:t>
      </w:r>
      <w:r w:rsidRPr="00F035FF">
        <w:rPr>
          <w:rStyle w:val="a4"/>
          <w:rFonts w:cs="David"/>
          <w:sz w:val="24"/>
          <w:szCs w:val="24"/>
          <w:rtl/>
        </w:rPr>
        <w:footnoteReference w:id="1"/>
      </w:r>
      <w:r w:rsidR="00405368">
        <w:rPr>
          <w:rFonts w:cs="David" w:hint="cs"/>
          <w:sz w:val="24"/>
          <w:szCs w:val="24"/>
          <w:rtl/>
        </w:rPr>
        <w:t xml:space="preserve"> (להלן </w:t>
      </w:r>
      <w:r w:rsidR="00405368">
        <w:rPr>
          <w:rFonts w:cs="David"/>
          <w:sz w:val="24"/>
          <w:szCs w:val="24"/>
          <w:rtl/>
        </w:rPr>
        <w:t>–</w:t>
      </w:r>
      <w:r w:rsidR="00405368">
        <w:rPr>
          <w:rFonts w:cs="David" w:hint="cs"/>
          <w:sz w:val="24"/>
          <w:szCs w:val="24"/>
          <w:rtl/>
        </w:rPr>
        <w:t xml:space="preserve"> </w:t>
      </w:r>
      <w:r w:rsidR="001E2AE4">
        <w:rPr>
          <w:rFonts w:cs="David" w:hint="cs"/>
          <w:sz w:val="24"/>
          <w:szCs w:val="24"/>
          <w:rtl/>
        </w:rPr>
        <w:t>ה</w:t>
      </w:r>
      <w:r w:rsidR="00405368">
        <w:rPr>
          <w:rFonts w:cs="David" w:hint="cs"/>
          <w:sz w:val="24"/>
          <w:szCs w:val="24"/>
          <w:rtl/>
        </w:rPr>
        <w:t>חוק)</w:t>
      </w:r>
      <w:r w:rsidRPr="00F035FF">
        <w:rPr>
          <w:rFonts w:cs="David" w:hint="cs"/>
          <w:sz w:val="24"/>
          <w:szCs w:val="24"/>
          <w:rtl/>
        </w:rPr>
        <w:t>, ובאישור שר האוצר</w:t>
      </w:r>
      <w:r>
        <w:rPr>
          <w:rFonts w:cs="David" w:hint="cs"/>
          <w:sz w:val="24"/>
          <w:szCs w:val="24"/>
          <w:rtl/>
        </w:rPr>
        <w:t xml:space="preserve"> וו</w:t>
      </w:r>
      <w:r w:rsidR="00405368">
        <w:rPr>
          <w:rFonts w:cs="David" w:hint="cs"/>
          <w:sz w:val="24"/>
          <w:szCs w:val="24"/>
          <w:rtl/>
        </w:rPr>
        <w:t>ע</w:t>
      </w:r>
      <w:r>
        <w:rPr>
          <w:rFonts w:cs="David" w:hint="cs"/>
          <w:sz w:val="24"/>
          <w:szCs w:val="24"/>
          <w:rtl/>
        </w:rPr>
        <w:t>דת הכלכלה של הכנסת, אני מצווה לאמור</w:t>
      </w:r>
      <w:r w:rsidRPr="009911BA">
        <w:rPr>
          <w:rFonts w:cs="David" w:hint="cs"/>
          <w:sz w:val="24"/>
          <w:szCs w:val="24"/>
          <w:rtl/>
        </w:rPr>
        <w:t>:</w:t>
      </w:r>
    </w:p>
    <w:p w:rsidR="009A312D" w:rsidRDefault="009A312D" w:rsidP="009A312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</w:tabs>
        <w:spacing w:before="72"/>
        <w:ind w:left="0"/>
        <w:rPr>
          <w:rStyle w:val="default"/>
          <w:rFonts w:cs="David"/>
          <w:sz w:val="24"/>
          <w:szCs w:val="24"/>
          <w:rtl/>
        </w:rPr>
      </w:pPr>
    </w:p>
    <w:p w:rsidR="009A312D" w:rsidRPr="0060133A" w:rsidRDefault="009A312D" w:rsidP="009A312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2835"/>
          <w:tab w:val="clear" w:pos="6259"/>
        </w:tabs>
        <w:spacing w:before="72"/>
        <w:ind w:left="0"/>
        <w:rPr>
          <w:rStyle w:val="default"/>
          <w:rFonts w:cs="David"/>
          <w:sz w:val="24"/>
          <w:szCs w:val="24"/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80"/>
        <w:gridCol w:w="788"/>
        <w:gridCol w:w="6302"/>
      </w:tblGrid>
      <w:tr w:rsidR="009A312D" w:rsidRPr="0060133A">
        <w:trPr>
          <w:cantSplit/>
          <w:trHeight w:val="60"/>
        </w:trPr>
        <w:tc>
          <w:tcPr>
            <w:tcW w:w="1871" w:type="dxa"/>
          </w:tcPr>
          <w:p w:rsidR="009A312D" w:rsidRPr="000F7E08" w:rsidRDefault="009A312D" w:rsidP="00D16DE8">
            <w:pPr>
              <w:pStyle w:val="TableSideHeading"/>
              <w:keepLines w:val="0"/>
              <w:rPr>
                <w:sz w:val="24"/>
                <w:szCs w:val="24"/>
              </w:rPr>
            </w:pPr>
            <w:r w:rsidRPr="003657E6">
              <w:rPr>
                <w:rFonts w:hint="cs"/>
                <w:sz w:val="24"/>
                <w:szCs w:val="24"/>
                <w:rtl/>
              </w:rPr>
              <w:t>תיקון התוספת</w:t>
            </w:r>
            <w:r w:rsidR="00531389">
              <w:rPr>
                <w:rFonts w:hint="cs"/>
                <w:sz w:val="24"/>
                <w:szCs w:val="24"/>
                <w:rtl/>
              </w:rPr>
              <w:t xml:space="preserve"> לחוק</w:t>
            </w:r>
          </w:p>
        </w:tc>
        <w:tc>
          <w:tcPr>
            <w:tcW w:w="680" w:type="dxa"/>
          </w:tcPr>
          <w:p w:rsidR="009A312D" w:rsidRPr="0033507F" w:rsidRDefault="009A312D" w:rsidP="00D16DE8">
            <w:pPr>
              <w:pStyle w:val="TableText"/>
              <w:keepLines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0" w:type="dxa"/>
            <w:gridSpan w:val="2"/>
          </w:tcPr>
          <w:p w:rsidR="009A312D" w:rsidRPr="0033507F" w:rsidRDefault="009A312D" w:rsidP="00A34AA2">
            <w:pPr>
              <w:ind w:firstLine="0"/>
              <w:rPr>
                <w:rFonts w:cs="David"/>
                <w:sz w:val="24"/>
                <w:szCs w:val="24"/>
              </w:rPr>
            </w:pPr>
            <w:r w:rsidRPr="0033507F">
              <w:rPr>
                <w:rFonts w:cs="David" w:hint="cs"/>
                <w:sz w:val="24"/>
                <w:szCs w:val="24"/>
                <w:rtl/>
              </w:rPr>
              <w:t>בתוספת לחוק</w:t>
            </w:r>
            <w:r w:rsidR="00A34AA2">
              <w:rPr>
                <w:rFonts w:cs="David" w:hint="cs"/>
                <w:sz w:val="24"/>
                <w:szCs w:val="24"/>
                <w:rtl/>
              </w:rPr>
              <w:t xml:space="preserve">, </w:t>
            </w:r>
          </w:p>
        </w:tc>
      </w:tr>
      <w:tr w:rsidR="00AB7021" w:rsidRPr="0060133A">
        <w:trPr>
          <w:cantSplit/>
          <w:trHeight w:val="60"/>
        </w:trPr>
        <w:tc>
          <w:tcPr>
            <w:tcW w:w="1871" w:type="dxa"/>
          </w:tcPr>
          <w:p w:rsidR="00AB7021" w:rsidRPr="003657E6" w:rsidRDefault="00AB7021" w:rsidP="00D16DE8">
            <w:pPr>
              <w:pStyle w:val="TableSideHeading"/>
              <w:keepLines w:val="0"/>
              <w:rPr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AB7021" w:rsidRPr="0033507F" w:rsidRDefault="00AB7021" w:rsidP="00AB7021">
            <w:pPr>
              <w:pStyle w:val="TableText"/>
              <w:keepLines w:val="0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AB7021" w:rsidRPr="0033507F" w:rsidRDefault="00AB7021" w:rsidP="0033507F">
            <w:pPr>
              <w:ind w:firstLine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302" w:type="dxa"/>
          </w:tcPr>
          <w:p w:rsidR="00AB7021" w:rsidRPr="0033507F" w:rsidRDefault="00AB7021" w:rsidP="00812A56">
            <w:pPr>
              <w:ind w:firstLine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בחלק שכותרתו "</w:t>
            </w:r>
            <w:r w:rsidR="003A4A4E">
              <w:rPr>
                <w:rFonts w:cs="David" w:hint="cs"/>
                <w:sz w:val="24"/>
                <w:szCs w:val="24"/>
                <w:rtl/>
              </w:rPr>
              <w:t>לחו"ל</w:t>
            </w:r>
            <w:r w:rsidR="00954F1D">
              <w:rPr>
                <w:rFonts w:cs="David" w:hint="cs"/>
                <w:sz w:val="24"/>
                <w:szCs w:val="24"/>
                <w:rtl/>
              </w:rPr>
              <w:t xml:space="preserve">", המילים </w:t>
            </w:r>
            <w:r w:rsidRPr="0033507F">
              <w:rPr>
                <w:rFonts w:cs="David" w:hint="cs"/>
                <w:sz w:val="24"/>
                <w:szCs w:val="24"/>
                <w:rtl/>
              </w:rPr>
              <w:t>"</w:t>
            </w:r>
            <w:r w:rsidR="003A4A4E" w:rsidRPr="003A4A4E">
              <w:rPr>
                <w:rFonts w:ascii="Arial" w:eastAsia="Arial Unicode MS" w:hAnsi="Arial" w:cs="David" w:hint="cs"/>
                <w:snapToGrid w:val="0"/>
                <w:spacing w:val="0"/>
                <w:sz w:val="24"/>
                <w:szCs w:val="24"/>
                <w:rtl/>
              </w:rPr>
              <w:t>מכתב בדרך הים ו</w:t>
            </w:r>
            <w:r w:rsidR="00A34AA2">
              <w:rPr>
                <w:rFonts w:ascii="Arial" w:eastAsia="Arial Unicode MS" w:hAnsi="Arial" w:cs="David" w:hint="cs"/>
                <w:snapToGrid w:val="0"/>
                <w:spacing w:val="0"/>
                <w:sz w:val="24"/>
                <w:szCs w:val="24"/>
                <w:rtl/>
              </w:rPr>
              <w:t>ה</w:t>
            </w:r>
            <w:r w:rsidR="003A4A4E" w:rsidRPr="003A4A4E">
              <w:rPr>
                <w:rFonts w:ascii="Arial" w:eastAsia="Arial Unicode MS" w:hAnsi="Arial" w:cs="David" w:hint="cs"/>
                <w:snapToGrid w:val="0"/>
                <w:spacing w:val="0"/>
                <w:sz w:val="24"/>
                <w:szCs w:val="24"/>
                <w:rtl/>
              </w:rPr>
              <w:t>יבשה, שמ</w:t>
            </w:r>
            <w:r w:rsidR="003A4A4E">
              <w:rPr>
                <w:rFonts w:ascii="Arial" w:eastAsia="Arial Unicode MS" w:hAnsi="Arial" w:cs="David" w:hint="cs"/>
                <w:snapToGrid w:val="0"/>
                <w:spacing w:val="0"/>
                <w:sz w:val="24"/>
                <w:szCs w:val="24"/>
                <w:rtl/>
              </w:rPr>
              <w:t>ש</w:t>
            </w:r>
            <w:r w:rsidR="003A4A4E" w:rsidRPr="003A4A4E">
              <w:rPr>
                <w:rFonts w:ascii="Arial" w:eastAsia="Arial Unicode MS" w:hAnsi="Arial" w:cs="David" w:hint="cs"/>
                <w:snapToGrid w:val="0"/>
                <w:spacing w:val="0"/>
                <w:sz w:val="24"/>
                <w:szCs w:val="24"/>
                <w:rtl/>
              </w:rPr>
              <w:t>קלו אינו עולה על 250 גרם</w:t>
            </w:r>
            <w:r w:rsidRPr="0033507F">
              <w:rPr>
                <w:rFonts w:cs="David" w:hint="cs"/>
                <w:sz w:val="24"/>
                <w:szCs w:val="24"/>
                <w:rtl/>
              </w:rPr>
              <w:t>"</w:t>
            </w:r>
            <w:r w:rsidR="003A4A4E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="00954F1D">
              <w:rPr>
                <w:rFonts w:cs="David" w:hint="cs"/>
                <w:sz w:val="24"/>
                <w:szCs w:val="24"/>
                <w:rtl/>
              </w:rPr>
              <w:t xml:space="preserve">והמילים </w:t>
            </w:r>
            <w:r w:rsidR="003A4A4E">
              <w:rPr>
                <w:rFonts w:cs="David" w:hint="cs"/>
                <w:sz w:val="24"/>
                <w:szCs w:val="24"/>
                <w:rtl/>
              </w:rPr>
              <w:t>"</w:t>
            </w:r>
            <w:r w:rsidR="003A4A4E" w:rsidRPr="003A4A4E">
              <w:rPr>
                <w:rFonts w:ascii="Arial" w:eastAsia="Arial Unicode MS" w:hAnsi="Arial" w:cs="David" w:hint="cs"/>
                <w:snapToGrid w:val="0"/>
                <w:spacing w:val="0"/>
                <w:sz w:val="24"/>
                <w:szCs w:val="24"/>
                <w:rtl/>
              </w:rPr>
              <w:t>צרור קטן בדרך הים והיבשה, שמ</w:t>
            </w:r>
            <w:r w:rsidR="003A4A4E">
              <w:rPr>
                <w:rFonts w:ascii="Arial" w:eastAsia="Arial Unicode MS" w:hAnsi="Arial" w:cs="David" w:hint="cs"/>
                <w:snapToGrid w:val="0"/>
                <w:spacing w:val="0"/>
                <w:sz w:val="24"/>
                <w:szCs w:val="24"/>
                <w:rtl/>
              </w:rPr>
              <w:t>ש</w:t>
            </w:r>
            <w:r w:rsidR="003A4A4E" w:rsidRPr="003A4A4E">
              <w:rPr>
                <w:rFonts w:ascii="Arial" w:eastAsia="Arial Unicode MS" w:hAnsi="Arial" w:cs="David" w:hint="cs"/>
                <w:snapToGrid w:val="0"/>
                <w:spacing w:val="0"/>
                <w:sz w:val="24"/>
                <w:szCs w:val="24"/>
                <w:rtl/>
              </w:rPr>
              <w:t>קלו אינו עולה על 500 גרם</w:t>
            </w:r>
            <w:r w:rsidR="003A4A4E">
              <w:rPr>
                <w:rFonts w:ascii="Arial" w:eastAsia="Arial Unicode MS" w:hAnsi="Arial" w:cs="David" w:hint="cs"/>
                <w:snapToGrid w:val="0"/>
                <w:spacing w:val="0"/>
                <w:sz w:val="24"/>
                <w:szCs w:val="24"/>
                <w:rtl/>
              </w:rPr>
              <w:t>"</w:t>
            </w:r>
            <w:r w:rsidR="003A4A4E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יימחק</w:t>
            </w:r>
            <w:r w:rsidR="003A4A4E">
              <w:rPr>
                <w:rFonts w:cs="David" w:hint="cs"/>
                <w:sz w:val="24"/>
                <w:szCs w:val="24"/>
                <w:rtl/>
              </w:rPr>
              <w:t>ו</w:t>
            </w:r>
            <w:r w:rsidR="00EF0B02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AB7021" w:rsidRPr="0060133A">
        <w:trPr>
          <w:cantSplit/>
          <w:trHeight w:val="60"/>
        </w:trPr>
        <w:tc>
          <w:tcPr>
            <w:tcW w:w="1871" w:type="dxa"/>
          </w:tcPr>
          <w:p w:rsidR="00AB7021" w:rsidRPr="003657E6" w:rsidRDefault="00AB7021" w:rsidP="00D16DE8">
            <w:pPr>
              <w:pStyle w:val="TableSideHeading"/>
              <w:keepLines w:val="0"/>
              <w:rPr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AB7021" w:rsidRPr="0033507F" w:rsidRDefault="00AB7021" w:rsidP="00AB7021">
            <w:pPr>
              <w:pStyle w:val="TableText"/>
              <w:keepLines w:val="0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AB7021" w:rsidRPr="0033507F" w:rsidRDefault="00AB7021" w:rsidP="0033507F">
            <w:pPr>
              <w:ind w:firstLine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302" w:type="dxa"/>
          </w:tcPr>
          <w:p w:rsidR="00AB7021" w:rsidRPr="0033507F" w:rsidRDefault="00AB7021" w:rsidP="0033507F">
            <w:pPr>
              <w:ind w:firstLine="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9A312D" w:rsidRPr="009A312D" w:rsidRDefault="009A312D" w:rsidP="009A312D">
      <w:pPr>
        <w:spacing w:line="312" w:lineRule="auto"/>
        <w:ind w:right="700" w:firstLine="0"/>
        <w:jc w:val="left"/>
        <w:rPr>
          <w:rFonts w:ascii="Arial" w:eastAsia="Arial Unicode MS" w:hAnsi="Arial" w:cs="David"/>
          <w:snapToGrid w:val="0"/>
          <w:spacing w:val="0"/>
          <w:sz w:val="24"/>
          <w:szCs w:val="24"/>
          <w:rtl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9A312D" w:rsidRPr="0060133A">
        <w:tc>
          <w:tcPr>
            <w:tcW w:w="2500" w:type="pct"/>
          </w:tcPr>
          <w:p w:rsidR="009A312D" w:rsidRPr="0060133A" w:rsidRDefault="009A312D" w:rsidP="00D16DE8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9A312D" w:rsidRPr="0060133A" w:rsidRDefault="009A312D" w:rsidP="00A34AA2">
            <w:pPr>
              <w:pStyle w:val="1"/>
              <w:spacing w:line="360" w:lineRule="auto"/>
              <w:rPr>
                <w:u w:val="none"/>
                <w:rtl/>
              </w:rPr>
            </w:pPr>
            <w:r w:rsidRPr="0060133A">
              <w:rPr>
                <w:rFonts w:hint="cs"/>
                <w:u w:val="none"/>
                <w:rtl/>
              </w:rPr>
              <w:t>__________  התשע"</w:t>
            </w:r>
            <w:r w:rsidR="00A34AA2">
              <w:rPr>
                <w:rFonts w:hint="cs"/>
                <w:u w:val="none"/>
                <w:rtl/>
              </w:rPr>
              <w:t>ו</w:t>
            </w:r>
          </w:p>
          <w:p w:rsidR="009A312D" w:rsidRPr="0060133A" w:rsidRDefault="009A312D" w:rsidP="00EF0B02">
            <w:pPr>
              <w:ind w:firstLine="0"/>
              <w:jc w:val="left"/>
              <w:rPr>
                <w:rFonts w:cs="David"/>
                <w:sz w:val="24"/>
                <w:szCs w:val="24"/>
                <w:rtl/>
              </w:rPr>
            </w:pPr>
            <w:r w:rsidRPr="0060133A">
              <w:rPr>
                <w:rFonts w:cs="David" w:hint="cs"/>
                <w:sz w:val="24"/>
                <w:szCs w:val="24"/>
                <w:rtl/>
              </w:rPr>
              <w:t xml:space="preserve">(___________ </w:t>
            </w:r>
            <w:r w:rsidR="00EF0B02">
              <w:rPr>
                <w:rFonts w:cs="David" w:hint="cs"/>
                <w:sz w:val="24"/>
                <w:szCs w:val="24"/>
                <w:rtl/>
              </w:rPr>
              <w:t>2015</w:t>
            </w:r>
            <w:r w:rsidRPr="0060133A">
              <w:rPr>
                <w:rFonts w:cs="David" w:hint="cs"/>
                <w:sz w:val="24"/>
                <w:szCs w:val="24"/>
                <w:rtl/>
              </w:rPr>
              <w:t>)</w:t>
            </w:r>
          </w:p>
          <w:p w:rsidR="009A312D" w:rsidRPr="0060133A" w:rsidRDefault="00A34AA2" w:rsidP="00D16DE8">
            <w:pPr>
              <w:ind w:firstLine="0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(חמ 3-5130)</w:t>
            </w:r>
          </w:p>
        </w:tc>
        <w:tc>
          <w:tcPr>
            <w:tcW w:w="2500" w:type="pct"/>
          </w:tcPr>
          <w:p w:rsidR="00964CDF" w:rsidRDefault="00964CDF" w:rsidP="00EF0B02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964CDF" w:rsidRDefault="00213099" w:rsidP="00EF0B02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בנימין נתניהו</w:t>
            </w:r>
          </w:p>
          <w:p w:rsidR="009A312D" w:rsidRPr="0060133A" w:rsidRDefault="009A312D" w:rsidP="00EF0B02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שר </w:t>
            </w:r>
            <w:r w:rsidRPr="0060133A">
              <w:rPr>
                <w:rFonts w:cs="David" w:hint="cs"/>
                <w:sz w:val="24"/>
                <w:szCs w:val="24"/>
                <w:rtl/>
              </w:rPr>
              <w:t>התקשורת</w:t>
            </w:r>
          </w:p>
        </w:tc>
      </w:tr>
    </w:tbl>
    <w:p w:rsidR="009A312D" w:rsidRPr="0060133A" w:rsidRDefault="009A312D" w:rsidP="009A312D">
      <w:pPr>
        <w:spacing w:line="312" w:lineRule="auto"/>
        <w:ind w:right="700" w:firstLine="0"/>
        <w:jc w:val="left"/>
        <w:rPr>
          <w:snapToGrid w:val="0"/>
          <w:rtl/>
        </w:rPr>
      </w:pPr>
    </w:p>
    <w:p w:rsidR="000B5457" w:rsidRDefault="000B5457">
      <w:pPr>
        <w:rPr>
          <w:rtl/>
        </w:rPr>
      </w:pPr>
    </w:p>
    <w:p w:rsidR="001472B5" w:rsidRDefault="001472B5">
      <w:pPr>
        <w:rPr>
          <w:rtl/>
        </w:rPr>
      </w:pPr>
    </w:p>
    <w:p w:rsidR="001472B5" w:rsidRPr="00066848" w:rsidRDefault="004726C1" w:rsidP="004726C1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דברי הסבר</w:t>
      </w:r>
    </w:p>
    <w:p w:rsidR="00066848" w:rsidRDefault="00066848">
      <w:pPr>
        <w:rPr>
          <w:rtl/>
        </w:rPr>
      </w:pPr>
    </w:p>
    <w:p w:rsidR="00066848" w:rsidRDefault="00066848" w:rsidP="00CE0E9A">
      <w:pPr>
        <w:widowControl/>
        <w:autoSpaceDE/>
        <w:autoSpaceDN/>
        <w:adjustRightInd/>
        <w:spacing w:before="0" w:line="360" w:lineRule="auto"/>
        <w:ind w:left="720" w:firstLine="0"/>
        <w:textAlignment w:val="auto"/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</w:pPr>
      <w:r w:rsidRPr="00066848">
        <w:rPr>
          <w:rFonts w:ascii="Times New Roman" w:eastAsia="Times New Roman" w:hAnsi="Times New Roman" w:cs="David" w:hint="cs"/>
          <w:color w:val="auto"/>
          <w:spacing w:val="0"/>
          <w:sz w:val="24"/>
          <w:szCs w:val="24"/>
          <w:rtl/>
          <w:lang w:eastAsia="en-US"/>
        </w:rPr>
        <w:t>ביום 17 בנובמבר 2014, אימצו שר התקשורת ושר האוצר דאז, את המלצות הוועדה לבחינת תעריפי חברת הדואר ובנק הדואר ושירותיהן בראשות ד"ר זיו רייך ("</w:t>
      </w:r>
      <w:r w:rsidRPr="00066848">
        <w:rPr>
          <w:rFonts w:ascii="Times New Roman" w:eastAsia="Times New Roman" w:hAnsi="Times New Roman" w:cs="David" w:hint="cs"/>
          <w:b/>
          <w:bCs/>
          <w:color w:val="auto"/>
          <w:spacing w:val="0"/>
          <w:sz w:val="24"/>
          <w:szCs w:val="24"/>
          <w:rtl/>
          <w:lang w:eastAsia="en-US"/>
        </w:rPr>
        <w:t>ועדת רייך</w:t>
      </w:r>
      <w:r w:rsidRPr="00066848">
        <w:rPr>
          <w:rFonts w:ascii="Times New Roman" w:eastAsia="Times New Roman" w:hAnsi="Times New Roman" w:cs="David" w:hint="cs"/>
          <w:color w:val="auto"/>
          <w:spacing w:val="0"/>
          <w:sz w:val="24"/>
          <w:szCs w:val="24"/>
          <w:rtl/>
          <w:lang w:eastAsia="en-US"/>
        </w:rPr>
        <w:t xml:space="preserve">") בכפוף למספר שינויים ודגשים. 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 xml:space="preserve">ועדת רייך המליצה, בין היתר, על הוצאת תשלומים בעד שירותים מסוימים מפיקוח. </w:t>
      </w:r>
    </w:p>
    <w:p w:rsidR="00066848" w:rsidRDefault="00066848" w:rsidP="00066848">
      <w:pPr>
        <w:widowControl/>
        <w:autoSpaceDE/>
        <w:autoSpaceDN/>
        <w:adjustRightInd/>
        <w:spacing w:before="0" w:line="360" w:lineRule="auto"/>
        <w:ind w:left="720" w:firstLine="0"/>
        <w:jc w:val="left"/>
        <w:textAlignment w:val="auto"/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</w:pPr>
    </w:p>
    <w:p w:rsidR="00066848" w:rsidRDefault="00066848" w:rsidP="00956CC4">
      <w:pPr>
        <w:widowControl/>
        <w:autoSpaceDE/>
        <w:autoSpaceDN/>
        <w:adjustRightInd/>
        <w:spacing w:before="0" w:line="360" w:lineRule="auto"/>
        <w:ind w:left="720" w:firstLine="0"/>
        <w:textAlignment w:val="auto"/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</w:pP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 xml:space="preserve">סעיף 37(א) לחוק הדואר קובע כי שר התקשורת </w:t>
      </w:r>
      <w:r w:rsidRPr="00066848"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  <w:t xml:space="preserve"> באישור שר האוצר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>,</w:t>
      </w:r>
      <w:r w:rsidRPr="00066848"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  <w:t xml:space="preserve"> יקבע בתקנות את התשלומים בעד השירותים המנויים בתוספת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 xml:space="preserve"> לחוק ("</w:t>
      </w:r>
      <w:r w:rsidRPr="00066848">
        <w:rPr>
          <w:rFonts w:ascii="Times New Roman" w:eastAsia="Times New Roman" w:hAnsi="Times New Roman" w:cs="David" w:hint="eastAsia"/>
          <w:b/>
          <w:bCs/>
          <w:noProof/>
          <w:color w:val="auto"/>
          <w:spacing w:val="0"/>
          <w:sz w:val="24"/>
          <w:szCs w:val="24"/>
          <w:rtl/>
          <w:lang w:eastAsia="he-IL"/>
        </w:rPr>
        <w:t>התוספת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>")</w:t>
      </w:r>
      <w:r w:rsidRPr="00066848"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  <w:t xml:space="preserve"> </w:t>
      </w:r>
      <w:r w:rsidR="009542A7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>שניתנים בידי</w:t>
      </w:r>
      <w:r w:rsidR="009542A7" w:rsidRPr="00066848"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  <w:t xml:space="preserve"> </w:t>
      </w:r>
      <w:r w:rsidRPr="00066848"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  <w:t>בעל רישיון כללי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>. בסעיף 37(ב) לחוק הדואר נקבע כי שר התקשורת</w:t>
      </w:r>
      <w:r w:rsidRPr="00066848"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  <w:t>, באישור שר האוצר ו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>באישור וע</w:t>
      </w:r>
      <w:r w:rsidRPr="00066848"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  <w:t>ד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>ת הכלכלה של הכנסת</w:t>
      </w:r>
      <w:r w:rsidRPr="00066848"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  <w:t>, רשאי, בצו, להוסיף שירותים לתוספת או לגרוע שירותים מהתוספת.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 xml:space="preserve"> </w:t>
      </w:r>
    </w:p>
    <w:p w:rsidR="00066848" w:rsidRDefault="00066848" w:rsidP="00066848">
      <w:pPr>
        <w:widowControl/>
        <w:autoSpaceDE/>
        <w:autoSpaceDN/>
        <w:adjustRightInd/>
        <w:spacing w:before="0" w:line="360" w:lineRule="auto"/>
        <w:ind w:left="720" w:firstLine="0"/>
        <w:jc w:val="left"/>
        <w:textAlignment w:val="auto"/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</w:pPr>
    </w:p>
    <w:p w:rsidR="00066848" w:rsidRDefault="00066848" w:rsidP="00CE0E9A">
      <w:pPr>
        <w:widowControl/>
        <w:autoSpaceDE/>
        <w:autoSpaceDN/>
        <w:adjustRightInd/>
        <w:spacing w:before="0" w:line="360" w:lineRule="auto"/>
        <w:ind w:left="720" w:firstLine="0"/>
        <w:textAlignment w:val="auto"/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</w:pP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>בהמשך להמלצת הוועדה להוציא מפיקוח את התשלומים בעד השירותים</w:t>
      </w:r>
      <w:r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>: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 xml:space="preserve"> משלוח מכתב לחו"ל בדרך הים והיבשה, שמשקלו אינו עולה על 250 גרם ומשלוח צרור קטן לחו"ל בדרך הים והיבשה, שמשקלו אינו עולה על 500 גרם, </w:t>
      </w:r>
      <w:r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>נדרש להורות בצו</w:t>
      </w:r>
      <w:r w:rsidRPr="00066848">
        <w:rPr>
          <w:rFonts w:ascii="Times New Roman" w:eastAsia="Times New Roman" w:hAnsi="Times New Roman" w:cs="David" w:hint="cs"/>
          <w:noProof/>
          <w:color w:val="auto"/>
          <w:spacing w:val="0"/>
          <w:sz w:val="24"/>
          <w:szCs w:val="24"/>
          <w:rtl/>
          <w:lang w:eastAsia="he-IL"/>
        </w:rPr>
        <w:t xml:space="preserve"> על מחיקת שירותים אלו מהתוספת לחוק.</w:t>
      </w:r>
    </w:p>
    <w:p w:rsidR="00066848" w:rsidRDefault="00066848" w:rsidP="00066848">
      <w:pPr>
        <w:widowControl/>
        <w:autoSpaceDE/>
        <w:autoSpaceDN/>
        <w:adjustRightInd/>
        <w:spacing w:before="0" w:line="360" w:lineRule="auto"/>
        <w:ind w:left="720" w:firstLine="0"/>
        <w:jc w:val="left"/>
        <w:textAlignment w:val="auto"/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rtl/>
          <w:lang w:eastAsia="he-IL"/>
        </w:rPr>
      </w:pPr>
    </w:p>
    <w:p w:rsidR="00066848" w:rsidRPr="00066848" w:rsidRDefault="00066848" w:rsidP="00066848">
      <w:pPr>
        <w:widowControl/>
        <w:autoSpaceDE/>
        <w:autoSpaceDN/>
        <w:adjustRightInd/>
        <w:spacing w:before="0" w:line="360" w:lineRule="auto"/>
        <w:ind w:left="720" w:firstLine="0"/>
        <w:jc w:val="left"/>
        <w:textAlignment w:val="auto"/>
        <w:rPr>
          <w:rFonts w:ascii="Times New Roman" w:eastAsia="Times New Roman" w:hAnsi="Times New Roman" w:cs="David"/>
          <w:noProof/>
          <w:color w:val="auto"/>
          <w:spacing w:val="0"/>
          <w:sz w:val="24"/>
          <w:szCs w:val="24"/>
          <w:lang w:eastAsia="he-IL"/>
        </w:rPr>
      </w:pPr>
    </w:p>
    <w:p w:rsidR="00066848" w:rsidRPr="00066848" w:rsidRDefault="00066848">
      <w:pPr>
        <w:rPr>
          <w:rFonts w:cstheme="minorBidi"/>
          <w:sz w:val="24"/>
          <w:szCs w:val="24"/>
          <w:rtl/>
        </w:rPr>
      </w:pPr>
    </w:p>
    <w:sectPr w:rsidR="00066848" w:rsidRPr="00066848" w:rsidSect="00D16DE8">
      <w:footerReference w:type="even" r:id="rId12"/>
      <w:footerReference w:type="default" r:id="rId13"/>
      <w:pgSz w:w="11907" w:h="16840" w:code="9"/>
      <w:pgMar w:top="1134" w:right="1134" w:bottom="709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9F" w:rsidRDefault="0022799F">
      <w:r>
        <w:separator/>
      </w:r>
    </w:p>
  </w:endnote>
  <w:endnote w:type="continuationSeparator" w:id="0">
    <w:p w:rsidR="0022799F" w:rsidRDefault="002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E7" w:rsidRDefault="00BF7FE7" w:rsidP="00D16DE8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BF7FE7" w:rsidRDefault="00BF7F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E7" w:rsidRPr="006D751F" w:rsidRDefault="00BF7FE7" w:rsidP="00D16DE8">
    <w:pPr>
      <w:pStyle w:val="a5"/>
      <w:framePr w:wrap="around" w:vAnchor="text" w:hAnchor="text" w:xAlign="center" w:y="1"/>
      <w:rPr>
        <w:rStyle w:val="a6"/>
        <w:rFonts w:cs="David"/>
        <w:sz w:val="26"/>
        <w:szCs w:val="26"/>
      </w:rPr>
    </w:pPr>
    <w:r w:rsidRPr="006D751F">
      <w:rPr>
        <w:rStyle w:val="a6"/>
        <w:rFonts w:cs="David"/>
        <w:sz w:val="26"/>
        <w:szCs w:val="26"/>
        <w:rtl/>
      </w:rPr>
      <w:fldChar w:fldCharType="begin"/>
    </w:r>
    <w:r w:rsidRPr="006D751F">
      <w:rPr>
        <w:rStyle w:val="a6"/>
        <w:rFonts w:cs="David"/>
        <w:sz w:val="26"/>
        <w:szCs w:val="26"/>
      </w:rPr>
      <w:instrText xml:space="preserve">PAGE  </w:instrText>
    </w:r>
    <w:r w:rsidRPr="006D751F">
      <w:rPr>
        <w:rStyle w:val="a6"/>
        <w:rFonts w:cs="David"/>
        <w:sz w:val="26"/>
        <w:szCs w:val="26"/>
        <w:rtl/>
      </w:rPr>
      <w:fldChar w:fldCharType="separate"/>
    </w:r>
    <w:r w:rsidR="00066848">
      <w:rPr>
        <w:rStyle w:val="a6"/>
        <w:rFonts w:cs="David"/>
        <w:noProof/>
        <w:sz w:val="26"/>
        <w:szCs w:val="26"/>
        <w:rtl/>
      </w:rPr>
      <w:t>2</w:t>
    </w:r>
    <w:r w:rsidRPr="006D751F">
      <w:rPr>
        <w:rStyle w:val="a6"/>
        <w:rFonts w:cs="David"/>
        <w:sz w:val="26"/>
        <w:szCs w:val="26"/>
        <w:rtl/>
      </w:rPr>
      <w:fldChar w:fldCharType="end"/>
    </w:r>
  </w:p>
  <w:p w:rsidR="00BF7FE7" w:rsidRDefault="00BF7F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9F" w:rsidRDefault="0022799F">
      <w:r>
        <w:separator/>
      </w:r>
    </w:p>
  </w:footnote>
  <w:footnote w:type="continuationSeparator" w:id="0">
    <w:p w:rsidR="0022799F" w:rsidRDefault="0022799F">
      <w:r>
        <w:continuationSeparator/>
      </w:r>
    </w:p>
  </w:footnote>
  <w:footnote w:id="1">
    <w:p w:rsidR="00BF7FE7" w:rsidRDefault="00BF7FE7" w:rsidP="00A34AA2">
      <w:pPr>
        <w:pStyle w:val="a3"/>
        <w:rPr>
          <w:rtl/>
        </w:rPr>
      </w:pPr>
      <w:r w:rsidRPr="00DD40DA">
        <w:rPr>
          <w:rStyle w:val="a4"/>
          <w:rFonts w:ascii="Times New Roman" w:hAnsi="Times New Roman"/>
          <w:sz w:val="20"/>
        </w:rPr>
        <w:t>1</w:t>
      </w:r>
      <w:r w:rsidRPr="00DD40DA">
        <w:rPr>
          <w:rFonts w:hint="cs"/>
          <w:rtl/>
        </w:rPr>
        <w:t>ס"ח</w:t>
      </w:r>
      <w:r w:rsidR="00954F1D">
        <w:rPr>
          <w:rFonts w:hint="cs"/>
          <w:rtl/>
        </w:rPr>
        <w:t xml:space="preserve"> התשמ"ו, עמ' 79; </w:t>
      </w:r>
      <w:r w:rsidR="00A34AA2">
        <w:rPr>
          <w:rFonts w:hint="cs"/>
          <w:rtl/>
        </w:rPr>
        <w:t>התשס"ד, עמ' 71; ק"ת התשע"ב, עמ' 1566.</w:t>
      </w:r>
    </w:p>
    <w:p w:rsidR="00BF7FE7" w:rsidRPr="00DD40DA" w:rsidRDefault="00BF7FE7" w:rsidP="009A312D">
      <w:pPr>
        <w:pStyle w:val="a3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0406"/>
    <w:multiLevelType w:val="hybridMultilevel"/>
    <w:tmpl w:val="6466F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73254"/>
    <w:multiLevelType w:val="multilevel"/>
    <w:tmpl w:val="1D107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2D"/>
    <w:rsid w:val="0001240C"/>
    <w:rsid w:val="00066848"/>
    <w:rsid w:val="000B5457"/>
    <w:rsid w:val="000E5426"/>
    <w:rsid w:val="001472B5"/>
    <w:rsid w:val="00165ECE"/>
    <w:rsid w:val="001C2647"/>
    <w:rsid w:val="001E2AE4"/>
    <w:rsid w:val="001E7ED7"/>
    <w:rsid w:val="00213099"/>
    <w:rsid w:val="0022799F"/>
    <w:rsid w:val="00234863"/>
    <w:rsid w:val="00235234"/>
    <w:rsid w:val="002C741A"/>
    <w:rsid w:val="0033507F"/>
    <w:rsid w:val="00393AA9"/>
    <w:rsid w:val="003A4A4E"/>
    <w:rsid w:val="003A7842"/>
    <w:rsid w:val="00405368"/>
    <w:rsid w:val="004638CA"/>
    <w:rsid w:val="00464254"/>
    <w:rsid w:val="004726C1"/>
    <w:rsid w:val="00505497"/>
    <w:rsid w:val="00510AFA"/>
    <w:rsid w:val="00531389"/>
    <w:rsid w:val="00547F23"/>
    <w:rsid w:val="00552780"/>
    <w:rsid w:val="00563B94"/>
    <w:rsid w:val="005F5AD8"/>
    <w:rsid w:val="00666447"/>
    <w:rsid w:val="007E1955"/>
    <w:rsid w:val="00802A48"/>
    <w:rsid w:val="00812A56"/>
    <w:rsid w:val="00827F59"/>
    <w:rsid w:val="00874138"/>
    <w:rsid w:val="008C7B63"/>
    <w:rsid w:val="009542A7"/>
    <w:rsid w:val="00954F1D"/>
    <w:rsid w:val="00956CC4"/>
    <w:rsid w:val="00964CDF"/>
    <w:rsid w:val="009A312D"/>
    <w:rsid w:val="00A34AA2"/>
    <w:rsid w:val="00A50F43"/>
    <w:rsid w:val="00A67839"/>
    <w:rsid w:val="00AA2C59"/>
    <w:rsid w:val="00AA4092"/>
    <w:rsid w:val="00AB7021"/>
    <w:rsid w:val="00AC0441"/>
    <w:rsid w:val="00AD2D4F"/>
    <w:rsid w:val="00B355EF"/>
    <w:rsid w:val="00BA0254"/>
    <w:rsid w:val="00BF7FE7"/>
    <w:rsid w:val="00C479BE"/>
    <w:rsid w:val="00C542E7"/>
    <w:rsid w:val="00C67B23"/>
    <w:rsid w:val="00C700A8"/>
    <w:rsid w:val="00CB3348"/>
    <w:rsid w:val="00CE0E9A"/>
    <w:rsid w:val="00CE599A"/>
    <w:rsid w:val="00D16DE8"/>
    <w:rsid w:val="00D74218"/>
    <w:rsid w:val="00DB6BC8"/>
    <w:rsid w:val="00DC4A16"/>
    <w:rsid w:val="00DD3029"/>
    <w:rsid w:val="00DE2E5E"/>
    <w:rsid w:val="00E025D0"/>
    <w:rsid w:val="00E47557"/>
    <w:rsid w:val="00E54AE2"/>
    <w:rsid w:val="00E80E1C"/>
    <w:rsid w:val="00E8157A"/>
    <w:rsid w:val="00E97D7A"/>
    <w:rsid w:val="00EC6C13"/>
    <w:rsid w:val="00EE6ABC"/>
    <w:rsid w:val="00EF0B02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12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qFormat/>
    <w:rsid w:val="009A312D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David"/>
      <w:color w:val="auto"/>
      <w:spacing w:val="0"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rsid w:val="009A312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9A312D"/>
  </w:style>
  <w:style w:type="paragraph" w:customStyle="1" w:styleId="TableBlock">
    <w:name w:val="Table Block"/>
    <w:basedOn w:val="TableText"/>
    <w:rsid w:val="009A312D"/>
    <w:pPr>
      <w:ind w:right="0"/>
      <w:jc w:val="both"/>
    </w:pPr>
  </w:style>
  <w:style w:type="paragraph" w:styleId="a3">
    <w:name w:val="footnote text"/>
    <w:aliases w:val="Footnote Text"/>
    <w:basedOn w:val="a"/>
    <w:autoRedefine/>
    <w:semiHidden/>
    <w:rsid w:val="009A312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color w:val="auto"/>
      <w:spacing w:val="0"/>
      <w:sz w:val="14"/>
      <w:szCs w:val="20"/>
    </w:rPr>
  </w:style>
  <w:style w:type="character" w:styleId="a4">
    <w:name w:val="footnote reference"/>
    <w:aliases w:val="Footnote Reference"/>
    <w:semiHidden/>
    <w:rsid w:val="009A312D"/>
    <w:rPr>
      <w:vertAlign w:val="superscript"/>
    </w:rPr>
  </w:style>
  <w:style w:type="paragraph" w:styleId="a5">
    <w:name w:val="footer"/>
    <w:basedOn w:val="a"/>
    <w:rsid w:val="009A312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A312D"/>
  </w:style>
  <w:style w:type="character" w:customStyle="1" w:styleId="default">
    <w:name w:val="default"/>
    <w:rsid w:val="009A312D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9A312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paragraph" w:customStyle="1" w:styleId="P22">
    <w:name w:val="P22"/>
    <w:basedOn w:val="P00"/>
    <w:rsid w:val="009A312D"/>
    <w:pPr>
      <w:tabs>
        <w:tab w:val="clear" w:pos="624"/>
        <w:tab w:val="clear" w:pos="1021"/>
      </w:tabs>
      <w:ind w:right="1021"/>
    </w:pPr>
    <w:rPr>
      <w:rFonts w:cs="FrankRuehl"/>
    </w:rPr>
  </w:style>
  <w:style w:type="paragraph" w:styleId="a7">
    <w:name w:val="Balloon Text"/>
    <w:basedOn w:val="a"/>
    <w:link w:val="a8"/>
    <w:rsid w:val="005F5A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5F5AD8"/>
    <w:rPr>
      <w:rFonts w:ascii="Tahoma" w:eastAsia="MS Mincho" w:hAnsi="Tahoma" w:cs="Tahoma"/>
      <w:color w:val="000000"/>
      <w:spacing w:val="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12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qFormat/>
    <w:rsid w:val="009A312D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David"/>
      <w:color w:val="auto"/>
      <w:spacing w:val="0"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rsid w:val="009A312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9A312D"/>
  </w:style>
  <w:style w:type="paragraph" w:customStyle="1" w:styleId="TableBlock">
    <w:name w:val="Table Block"/>
    <w:basedOn w:val="TableText"/>
    <w:rsid w:val="009A312D"/>
    <w:pPr>
      <w:ind w:right="0"/>
      <w:jc w:val="both"/>
    </w:pPr>
  </w:style>
  <w:style w:type="paragraph" w:styleId="a3">
    <w:name w:val="footnote text"/>
    <w:aliases w:val="Footnote Text"/>
    <w:basedOn w:val="a"/>
    <w:autoRedefine/>
    <w:semiHidden/>
    <w:rsid w:val="009A312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color w:val="auto"/>
      <w:spacing w:val="0"/>
      <w:sz w:val="14"/>
      <w:szCs w:val="20"/>
    </w:rPr>
  </w:style>
  <w:style w:type="character" w:styleId="a4">
    <w:name w:val="footnote reference"/>
    <w:aliases w:val="Footnote Reference"/>
    <w:semiHidden/>
    <w:rsid w:val="009A312D"/>
    <w:rPr>
      <w:vertAlign w:val="superscript"/>
    </w:rPr>
  </w:style>
  <w:style w:type="paragraph" w:styleId="a5">
    <w:name w:val="footer"/>
    <w:basedOn w:val="a"/>
    <w:rsid w:val="009A312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A312D"/>
  </w:style>
  <w:style w:type="character" w:customStyle="1" w:styleId="default">
    <w:name w:val="default"/>
    <w:rsid w:val="009A312D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9A312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paragraph" w:customStyle="1" w:styleId="P22">
    <w:name w:val="P22"/>
    <w:basedOn w:val="P00"/>
    <w:rsid w:val="009A312D"/>
    <w:pPr>
      <w:tabs>
        <w:tab w:val="clear" w:pos="624"/>
        <w:tab w:val="clear" w:pos="1021"/>
      </w:tabs>
      <w:ind w:right="1021"/>
    </w:pPr>
    <w:rPr>
      <w:rFonts w:cs="FrankRuehl"/>
    </w:rPr>
  </w:style>
  <w:style w:type="paragraph" w:styleId="a7">
    <w:name w:val="Balloon Text"/>
    <w:basedOn w:val="a"/>
    <w:link w:val="a8"/>
    <w:rsid w:val="005F5A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5F5AD8"/>
    <w:rPr>
      <w:rFonts w:ascii="Tahoma" w:eastAsia="MS Mincho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324BEF-384F-47EA-B2F4-595F07B1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2575-9C29-4992-834F-5456F5F12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CA013-B5F0-4079-B262-52D65B77E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B3FF0-1E87-40ED-B4D5-78983B00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צו הדואר (שינוי התוספת לחוק), התשע"ב–2012</vt:lpstr>
    </vt:vector>
  </TitlesOfParts>
  <Company>MOC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צו הדואר (שינוי התוספת לחוק), התשע"ב–2012</dc:title>
  <dc:creator>Mohannad</dc:creator>
  <cp:lastModifiedBy>fadia zeidan</cp:lastModifiedBy>
  <cp:revision>2</cp:revision>
  <cp:lastPrinted>2015-10-15T15:52:00Z</cp:lastPrinted>
  <dcterms:created xsi:type="dcterms:W3CDTF">2015-10-18T07:06:00Z</dcterms:created>
  <dcterms:modified xsi:type="dcterms:W3CDTF">2015-10-18T07:06:00Z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SanhedrinDocumentType">
    <vt:r8>93</vt:r8>
  </property>
  <property fmtid="{D5CDD505-2E9C-101B-9397-08002B2CF9AE}" pid="4" name="SanhedrinItemID">
    <vt:r8>573182</vt:r8>
  </property>
</Properties>
</file>