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8" w:rsidRDefault="008337D8">
      <w:pPr>
        <w:rPr>
          <w:rFonts w:hint="cs"/>
          <w:rtl/>
        </w:rPr>
      </w:pPr>
    </w:p>
    <w:p w:rsidR="00E85BA2" w:rsidRDefault="00E85BA2">
      <w:pPr>
        <w:rPr>
          <w:rFonts w:hint="cs"/>
          <w:rtl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</w:p>
    <w:p w:rsidR="00E85BA2" w:rsidRPr="00E85BA2" w:rsidRDefault="00E85BA2" w:rsidP="00E85BA2">
      <w:pPr>
        <w:jc w:val="right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u w:val="single"/>
          <w:rtl/>
          <w:lang w:eastAsia="ja-JP"/>
        </w:rPr>
      </w:pPr>
      <w:r w:rsidRPr="00E85BA2"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u w:val="single"/>
          <w:rtl/>
          <w:lang w:eastAsia="ja-JP"/>
        </w:rPr>
        <w:t>נוסח לדיון בוועדה ביום 28.3.2016</w:t>
      </w:r>
    </w:p>
    <w:p w:rsidR="00E85BA2" w:rsidRDefault="00E85BA2" w:rsidP="00E85BA2">
      <w:pPr>
        <w:jc w:val="right"/>
        <w:rPr>
          <w:rtl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  <w:r w:rsidRPr="00E85BA2"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  <w:t>הצעת חוק נתוני אשראי, התשע"ו-2015</w:t>
      </w: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rtl/>
          <w:lang w:eastAsia="ja-JP"/>
        </w:rPr>
      </w:pPr>
    </w:p>
    <w:p w:rsidR="00E85BA2" w:rsidRDefault="00E85BA2" w:rsidP="00E85BA2">
      <w:pPr>
        <w:jc w:val="center"/>
        <w:rPr>
          <w:rFonts w:ascii="Arial" w:eastAsia="Arial Unicode MS" w:hAnsi="Arial" w:cs="David" w:hint="cs"/>
          <w:b/>
          <w:bCs/>
          <w:snapToGrid w:val="0"/>
          <w:color w:val="000000"/>
          <w:sz w:val="26"/>
          <w:szCs w:val="26"/>
          <w:u w:val="single"/>
          <w:rtl/>
          <w:lang w:eastAsia="ja-JP"/>
        </w:rPr>
      </w:pPr>
    </w:p>
    <w:p w:rsidR="008337D8" w:rsidRDefault="008337D8"/>
    <w:tbl>
      <w:tblPr>
        <w:bidiVisual/>
        <w:tblW w:w="9639" w:type="dxa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624"/>
        <w:gridCol w:w="7146"/>
      </w:tblGrid>
      <w:tr w:rsidR="008337D8" w:rsidRPr="002C678D" w:rsidTr="002C678D">
        <w:trPr>
          <w:cantSplit/>
          <w:jc w:val="center"/>
        </w:trPr>
        <w:tc>
          <w:tcPr>
            <w:tcW w:w="1869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337D8" w:rsidRPr="002C678D" w:rsidRDefault="008337D8" w:rsidP="002C678D">
            <w:pPr>
              <w:pStyle w:val="TableSideHeading"/>
              <w:rPr>
                <w:sz w:val="26"/>
                <w:rtl/>
              </w:rPr>
            </w:pPr>
            <w:r w:rsidRPr="002C678D">
              <w:rPr>
                <w:rFonts w:hint="eastAsia"/>
                <w:sz w:val="26"/>
                <w:rtl/>
              </w:rPr>
              <w:t>סודיות</w:t>
            </w:r>
            <w:r w:rsidRPr="002C678D">
              <w:rPr>
                <w:rFonts w:hint="cs"/>
                <w:sz w:val="26"/>
                <w:rtl/>
              </w:rPr>
              <w:t xml:space="preserve"> דיוני הוועדה ופרסום החלטותיה</w:t>
            </w:r>
          </w:p>
          <w:p w:rsidR="008337D8" w:rsidRPr="002C678D" w:rsidRDefault="008337D8" w:rsidP="002C678D">
            <w:pPr>
              <w:pStyle w:val="TableSideHeading"/>
              <w:rPr>
                <w:sz w:val="26"/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337D8" w:rsidRPr="002C678D" w:rsidRDefault="008337D8" w:rsidP="002C678D">
            <w:pPr>
              <w:pStyle w:val="TableText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72</w:t>
            </w:r>
            <w:r w:rsidRPr="002C678D">
              <w:rPr>
                <w:sz w:val="26"/>
                <w:rtl/>
              </w:rPr>
              <w:t>.</w:t>
            </w:r>
            <w:r w:rsidRPr="002C678D">
              <w:rPr>
                <w:sz w:val="26"/>
                <w:rtl/>
              </w:rPr>
              <w:tab/>
            </w:r>
          </w:p>
        </w:tc>
        <w:tc>
          <w:tcPr>
            <w:tcW w:w="7146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337D8" w:rsidRPr="002C678D" w:rsidRDefault="008337D8" w:rsidP="002C678D">
            <w:pPr>
              <w:pStyle w:val="TableBlock"/>
              <w:rPr>
                <w:sz w:val="26"/>
                <w:rtl/>
              </w:rPr>
            </w:pPr>
            <w:r w:rsidRPr="002C678D">
              <w:rPr>
                <w:rFonts w:hint="eastAsia"/>
                <w:sz w:val="26"/>
                <w:rtl/>
              </w:rPr>
              <w:t>לא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יגלה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אדם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דבר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מדיוני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הוועדה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המייעצת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או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מכל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חומר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שנמסר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לה</w:t>
            </w:r>
            <w:r w:rsidRPr="002C678D">
              <w:rPr>
                <w:sz w:val="26"/>
                <w:rtl/>
              </w:rPr>
              <w:t xml:space="preserve">, </w:t>
            </w:r>
            <w:r w:rsidRPr="002C678D">
              <w:rPr>
                <w:rFonts w:hint="eastAsia"/>
                <w:sz w:val="26"/>
                <w:rtl/>
              </w:rPr>
              <w:t>אלא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אם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כן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הנגיד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הסמיך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אותו</w:t>
            </w:r>
            <w:r w:rsidRPr="002C678D">
              <w:rPr>
                <w:sz w:val="26"/>
                <w:rtl/>
              </w:rPr>
              <w:t xml:space="preserve"> </w:t>
            </w:r>
            <w:r w:rsidRPr="002C678D">
              <w:rPr>
                <w:rFonts w:hint="eastAsia"/>
                <w:sz w:val="26"/>
                <w:rtl/>
              </w:rPr>
              <w:t>לכך</w:t>
            </w:r>
            <w:r w:rsidRPr="002C678D">
              <w:rPr>
                <w:sz w:val="26"/>
                <w:rtl/>
              </w:rPr>
              <w:t xml:space="preserve">; </w:t>
            </w:r>
            <w:r w:rsidRPr="008337D8">
              <w:rPr>
                <w:sz w:val="26"/>
                <w:u w:val="single"/>
                <w:rtl/>
              </w:rPr>
              <w:t xml:space="preserve">ואולם, </w:t>
            </w:r>
            <w:r w:rsidRPr="008337D8">
              <w:rPr>
                <w:rFonts w:hint="eastAsia"/>
                <w:sz w:val="26"/>
                <w:u w:val="single"/>
                <w:rtl/>
              </w:rPr>
              <w:t>עיקרי</w:t>
            </w:r>
            <w:r w:rsidRPr="008337D8">
              <w:rPr>
                <w:sz w:val="26"/>
                <w:u w:val="single"/>
                <w:rtl/>
              </w:rPr>
              <w:t xml:space="preserve"> </w:t>
            </w:r>
            <w:r w:rsidRPr="008337D8">
              <w:rPr>
                <w:rFonts w:hint="cs"/>
                <w:sz w:val="26"/>
                <w:u w:val="single"/>
                <w:rtl/>
              </w:rPr>
              <w:t xml:space="preserve">המלצות </w:t>
            </w:r>
            <w:r w:rsidRPr="008337D8">
              <w:rPr>
                <w:sz w:val="26"/>
                <w:u w:val="single"/>
                <w:rtl/>
              </w:rPr>
              <w:t xml:space="preserve">הוועדה </w:t>
            </w:r>
            <w:r w:rsidRPr="008337D8">
              <w:rPr>
                <w:rFonts w:hint="eastAsia"/>
                <w:sz w:val="26"/>
                <w:u w:val="single"/>
                <w:rtl/>
              </w:rPr>
              <w:t>המייעצת</w:t>
            </w:r>
            <w:r w:rsidRPr="008337D8">
              <w:rPr>
                <w:sz w:val="26"/>
                <w:u w:val="single"/>
                <w:rtl/>
              </w:rPr>
              <w:t xml:space="preserve"> </w:t>
            </w:r>
            <w:r w:rsidRPr="008337D8">
              <w:rPr>
                <w:rFonts w:hint="cs"/>
                <w:sz w:val="26"/>
                <w:u w:val="single"/>
                <w:rtl/>
              </w:rPr>
              <w:t xml:space="preserve">והפרוטוקולים של דיוניה </w:t>
            </w:r>
            <w:r w:rsidRPr="008337D8">
              <w:rPr>
                <w:sz w:val="26"/>
                <w:u w:val="single"/>
                <w:rtl/>
              </w:rPr>
              <w:t xml:space="preserve">יפורסמו באתר האינטרנט של בנק ישראל, </w:t>
            </w:r>
            <w:r w:rsidRPr="008337D8">
              <w:rPr>
                <w:rFonts w:hint="cs"/>
                <w:sz w:val="26"/>
                <w:u w:val="single"/>
                <w:rtl/>
              </w:rPr>
              <w:t xml:space="preserve">למעט עיקרי המלצות או פרוטוקולים של דיון מסוים, או חלקם, שהוועדה, בהחלטה מנומקת בכתב, הורתה שלא לפרסמם. </w:t>
            </w:r>
            <w:r w:rsidRPr="008337D8">
              <w:rPr>
                <w:rFonts w:hint="eastAsia"/>
                <w:sz w:val="26"/>
                <w:u w:val="single"/>
                <w:rtl/>
              </w:rPr>
              <w:t>אך</w:t>
            </w:r>
            <w:r w:rsidRPr="008337D8">
              <w:rPr>
                <w:sz w:val="26"/>
                <w:u w:val="single"/>
                <w:rtl/>
              </w:rPr>
              <w:t xml:space="preserve"> היא רשאית, בהחלטה מנומקת בכתב, לקבוע כי </w:t>
            </w:r>
            <w:r w:rsidRPr="008337D8">
              <w:rPr>
                <w:rFonts w:hint="eastAsia"/>
                <w:sz w:val="26"/>
                <w:u w:val="single"/>
                <w:rtl/>
              </w:rPr>
              <w:t>עיקרי</w:t>
            </w:r>
            <w:r w:rsidRPr="008337D8">
              <w:rPr>
                <w:sz w:val="26"/>
                <w:u w:val="single"/>
                <w:rtl/>
              </w:rPr>
              <w:t xml:space="preserve"> </w:t>
            </w:r>
            <w:r w:rsidRPr="008337D8">
              <w:rPr>
                <w:rFonts w:hint="cs"/>
                <w:sz w:val="26"/>
                <w:u w:val="single"/>
                <w:rtl/>
              </w:rPr>
              <w:t xml:space="preserve">המלצותיה או פרוטוקולים </w:t>
            </w:r>
            <w:r w:rsidRPr="008337D8">
              <w:rPr>
                <w:sz w:val="26"/>
                <w:u w:val="single"/>
                <w:rtl/>
              </w:rPr>
              <w:t>של דיון מסוים</w:t>
            </w:r>
            <w:r w:rsidRPr="008337D8">
              <w:rPr>
                <w:rFonts w:hint="cs"/>
                <w:sz w:val="26"/>
                <w:u w:val="single"/>
                <w:rtl/>
              </w:rPr>
              <w:t xml:space="preserve">, </w:t>
            </w:r>
            <w:r w:rsidRPr="008337D8">
              <w:rPr>
                <w:sz w:val="26"/>
                <w:u w:val="single"/>
                <w:rtl/>
              </w:rPr>
              <w:t xml:space="preserve"> או חלק</w:t>
            </w:r>
            <w:r w:rsidRPr="008337D8">
              <w:rPr>
                <w:rFonts w:hint="cs"/>
                <w:sz w:val="26"/>
                <w:u w:val="single"/>
                <w:rtl/>
              </w:rPr>
              <w:t>ם</w:t>
            </w:r>
            <w:r w:rsidRPr="008337D8">
              <w:rPr>
                <w:sz w:val="26"/>
                <w:u w:val="single"/>
                <w:rtl/>
              </w:rPr>
              <w:t xml:space="preserve"> לא יפורס</w:t>
            </w:r>
            <w:r w:rsidRPr="008337D8">
              <w:rPr>
                <w:rFonts w:hint="eastAsia"/>
                <w:sz w:val="26"/>
                <w:u w:val="single"/>
                <w:rtl/>
              </w:rPr>
              <w:t>מו</w:t>
            </w:r>
            <w:r w:rsidRPr="008337D8">
              <w:rPr>
                <w:sz w:val="26"/>
                <w:u w:val="single"/>
                <w:rtl/>
              </w:rPr>
              <w:t xml:space="preserve"> כאמור.</w:t>
            </w:r>
          </w:p>
        </w:tc>
      </w:tr>
    </w:tbl>
    <w:p w:rsidR="00552483" w:rsidRPr="008337D8" w:rsidRDefault="00552483" w:rsidP="008337D8"/>
    <w:sectPr w:rsidR="00552483" w:rsidRPr="008337D8" w:rsidSect="00E04B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D8"/>
    <w:rsid w:val="00061B78"/>
    <w:rsid w:val="0008037A"/>
    <w:rsid w:val="00080F5C"/>
    <w:rsid w:val="000849EC"/>
    <w:rsid w:val="00143DB5"/>
    <w:rsid w:val="0015258C"/>
    <w:rsid w:val="001723E8"/>
    <w:rsid w:val="001B105D"/>
    <w:rsid w:val="001C4B9A"/>
    <w:rsid w:val="001C64BD"/>
    <w:rsid w:val="00267E0F"/>
    <w:rsid w:val="002C01D2"/>
    <w:rsid w:val="002C29A6"/>
    <w:rsid w:val="00360C9A"/>
    <w:rsid w:val="00361A6D"/>
    <w:rsid w:val="00372BAB"/>
    <w:rsid w:val="003E3CC1"/>
    <w:rsid w:val="00473FA9"/>
    <w:rsid w:val="00487776"/>
    <w:rsid w:val="004A7F16"/>
    <w:rsid w:val="004E5B45"/>
    <w:rsid w:val="00552483"/>
    <w:rsid w:val="005A7110"/>
    <w:rsid w:val="00614E1B"/>
    <w:rsid w:val="006A3599"/>
    <w:rsid w:val="006B6E06"/>
    <w:rsid w:val="00701502"/>
    <w:rsid w:val="00711F5B"/>
    <w:rsid w:val="00716661"/>
    <w:rsid w:val="007B5862"/>
    <w:rsid w:val="007F66C1"/>
    <w:rsid w:val="008337D8"/>
    <w:rsid w:val="00840492"/>
    <w:rsid w:val="008663EE"/>
    <w:rsid w:val="008A1E3D"/>
    <w:rsid w:val="008B34A6"/>
    <w:rsid w:val="008B6C7E"/>
    <w:rsid w:val="008C1968"/>
    <w:rsid w:val="00911349"/>
    <w:rsid w:val="0092309B"/>
    <w:rsid w:val="00955968"/>
    <w:rsid w:val="009A295F"/>
    <w:rsid w:val="009F01E5"/>
    <w:rsid w:val="009F1BCC"/>
    <w:rsid w:val="00A82B25"/>
    <w:rsid w:val="00A930A7"/>
    <w:rsid w:val="00AB53DF"/>
    <w:rsid w:val="00BB0C3B"/>
    <w:rsid w:val="00C358C5"/>
    <w:rsid w:val="00C66C2B"/>
    <w:rsid w:val="00C8133D"/>
    <w:rsid w:val="00C85344"/>
    <w:rsid w:val="00CD0CCB"/>
    <w:rsid w:val="00D14DB5"/>
    <w:rsid w:val="00D81158"/>
    <w:rsid w:val="00D95A9F"/>
    <w:rsid w:val="00DA58DC"/>
    <w:rsid w:val="00DA6522"/>
    <w:rsid w:val="00DE46AD"/>
    <w:rsid w:val="00E04B03"/>
    <w:rsid w:val="00E0639C"/>
    <w:rsid w:val="00E16CB6"/>
    <w:rsid w:val="00E234D8"/>
    <w:rsid w:val="00E85BA2"/>
    <w:rsid w:val="00E923D0"/>
    <w:rsid w:val="00EB21F3"/>
    <w:rsid w:val="00F86C8B"/>
    <w:rsid w:val="00F9293B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8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link w:val="TableText0"/>
    <w:rsid w:val="008337D8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ind w:right="57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ableBlock">
    <w:name w:val="Table Block"/>
    <w:basedOn w:val="TableText"/>
    <w:rsid w:val="008337D8"/>
    <w:pPr>
      <w:ind w:right="0"/>
      <w:jc w:val="both"/>
    </w:pPr>
  </w:style>
  <w:style w:type="paragraph" w:customStyle="1" w:styleId="TableSideHeading">
    <w:name w:val="Table SideHeading"/>
    <w:basedOn w:val="TableText"/>
    <w:link w:val="TableSideHeading0"/>
    <w:rsid w:val="008337D8"/>
  </w:style>
  <w:style w:type="character" w:customStyle="1" w:styleId="TableText0">
    <w:name w:val="Table Text תו"/>
    <w:link w:val="TableText"/>
    <w:locked/>
    <w:rsid w:val="008337D8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SideHeading0">
    <w:name w:val="Table SideHeading תו"/>
    <w:link w:val="TableSideHeading"/>
    <w:locked/>
    <w:rsid w:val="008337D8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8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link w:val="TableText0"/>
    <w:rsid w:val="008337D8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ind w:right="57"/>
      <w:textAlignment w:val="center"/>
    </w:pPr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paragraph" w:customStyle="1" w:styleId="TableBlock">
    <w:name w:val="Table Block"/>
    <w:basedOn w:val="TableText"/>
    <w:rsid w:val="008337D8"/>
    <w:pPr>
      <w:ind w:right="0"/>
      <w:jc w:val="both"/>
    </w:pPr>
  </w:style>
  <w:style w:type="paragraph" w:customStyle="1" w:styleId="TableSideHeading">
    <w:name w:val="Table SideHeading"/>
    <w:basedOn w:val="TableText"/>
    <w:link w:val="TableSideHeading0"/>
    <w:rsid w:val="008337D8"/>
  </w:style>
  <w:style w:type="character" w:customStyle="1" w:styleId="TableText0">
    <w:name w:val="Table Text תו"/>
    <w:link w:val="TableText"/>
    <w:locked/>
    <w:rsid w:val="008337D8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  <w:style w:type="character" w:customStyle="1" w:styleId="TableSideHeading0">
    <w:name w:val="Table SideHeading תו"/>
    <w:link w:val="TableSideHeading"/>
    <w:locked/>
    <w:rsid w:val="008337D8"/>
    <w:rPr>
      <w:rFonts w:ascii="Arial" w:eastAsia="Arial Unicode MS" w:hAnsi="Arial" w:cs="David"/>
      <w:snapToGrid w:val="0"/>
      <w:color w:val="000000"/>
      <w:sz w:val="20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אביטל סומפולינסקי</dc:creator>
  <cp:lastModifiedBy>כוכי שבתאי</cp:lastModifiedBy>
  <cp:revision>2</cp:revision>
  <cp:lastPrinted>2016-03-23T08:13:00Z</cp:lastPrinted>
  <dcterms:created xsi:type="dcterms:W3CDTF">2016-03-23T08:14:00Z</dcterms:created>
  <dcterms:modified xsi:type="dcterms:W3CDTF">2016-03-23T08:14:00Z</dcterms:modified>
</cp:coreProperties>
</file>