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י"ט באדר א'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28 בפברואר, 2016</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3125</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ייבוא מהנדסים מחו"ל על חשבון מהנדסים מקומיים</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על פי תכנית ביוזמת משרד ראש הממשלה, כדי למלא את המחסור הקיים בשוק ההייטק בישראל, יונפקו ויזות מומחים עבור מהנדסים תושבי חו"ל.  התכנית מציעה למעשה לייבא עובדים וההערכה היא, כי ייבוא של עובדים זרים לארץ, מהנדסים ואחרים, בעיקר בתחום התוכנה, יבלום דרישות שכר של העובדים הישראלים.</w:t>
      </w:r>
      <w:r>
        <w:br/>
      </w:r>
      <w:r>
        <w:br/>
      </w:r>
      <w:r>
        <w:rPr>
          <w:rFonts w:ascii="Tahoma" w:hAnsi="Tahoma" w:cs="David" w:hint="cs"/>
          <w:sz w:val="24"/>
          <w:szCs w:val="24"/>
          <w:rtl/>
        </w:rPr>
        <w:t>בשלב הראשוני מדובר על הנפקת כמה מאות ויזות עבור בעלי מקצועות הנדסה להייטק, ובהמשך נבחנת האפשרות להרחיב את הנפקת הוויזות לאלפי עובדים זרים נוספים שיגיעו לישראל. הערכה בענף היא שאם התוכנית תצא לפועל, הדבר עלול לפגוע משמעותית בשכר עובדי ההיי-טק ויגרום להורדות שכר. כמובן שלתכנית יש השלכות רבות על אזרחי ישראל וההערכה היא, כי יבוא של עובדים זרים לארץ, מהנדסים ואחרים, בעיקר בתחום התוכנה, יבלום דרישות שכר של העובדים הישראלים.</w:t>
      </w:r>
      <w:r>
        <w:br/>
      </w:r>
      <w:r>
        <w:br/>
      </w:r>
      <w:r>
        <w:rPr>
          <w:rFonts w:ascii="Tahoma" w:hAnsi="Tahoma" w:cs="David" w:hint="cs"/>
          <w:sz w:val="24"/>
          <w:szCs w:val="24"/>
          <w:rtl/>
        </w:rPr>
        <w:t>אשר על כן, יש לקיים דיון מהיר בוועדת הכלכלה ולבחון את תכנית משרד ראש הממשלה לייבא עובדים ולבחון אופציות להכשרתם של מהנדסים תוצרת הארץ.</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איימן עודה</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2F5985"/>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F3C12063-27C8-47AF-836E-7470A54D5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919</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577199</vt:r8>
  </property>
</Properties>
</file>