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כ"א בשבט התשע"ו</w:t>
      </w:r>
      <w:bookmarkEnd w:id="0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31 בינואר, 2016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2658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>מחסור בעובדים מקצועיים בתעשייה בישראל</w:t>
      </w:r>
      <w:bookmarkEnd w:id="6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7" w:name="AGN_Description"/>
      <w:r>
        <w:rPr>
          <w:rFonts w:ascii="Tahoma" w:hAnsi="Tahoma" w:cs="David" w:hint="cs"/>
          <w:sz w:val="24"/>
          <w:szCs w:val="24"/>
          <w:rtl/>
        </w:rPr>
        <w:t xml:space="preserve"> </w:t>
      </w:r>
      <w:r>
        <w:br/>
      </w:r>
      <w:r>
        <w:rPr>
          <w:rFonts w:ascii="Tahoma" w:hAnsi="Tahoma" w:cs="David" w:hint="cs"/>
          <w:sz w:val="24"/>
          <w:szCs w:val="24"/>
          <w:rtl/>
        </w:rPr>
        <w:t>בסקר שעורכת התאחדות התעשיינים מדי רבעון בקרב מדגם מייצג של יותר מ-175 חברות תעשייתיות, דיווחו במחצית הראשונה של השנה קרוב ל-80% מהחברות על קשיים בגיוס עובדים מקצועיים. שיעור גבוה של מפעלים שנתקלו בקושי בגיוס עובדים מקצועיים נמצא בענפי הגומי, הפלסטיק, המתכת והחשמל. כ-91% מתעשייני ענף הגומי והפלסטיק דיווחו על קושי בגיוס עובדים מקצועיים, 81% מתעשייני המתכת ו-75% מהתעשיינים בענפי הטקסטיל וההלבשה והמזון.</w:t>
      </w:r>
      <w:r>
        <w:br/>
      </w:r>
      <w:r>
        <w:br/>
      </w:r>
      <w:r>
        <w:rPr>
          <w:rFonts w:ascii="Tahoma" w:hAnsi="Tahoma" w:cs="David" w:hint="cs"/>
          <w:sz w:val="24"/>
          <w:szCs w:val="24"/>
          <w:rtl/>
        </w:rPr>
        <w:t>לאור האמור לעיל, אבקש לקיים דיון דחוף בועדת הכספים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r>
        <w:br/>
      </w:r>
      <w:bookmarkEnd w:id="7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8" w:name="PM_Gender"/>
      <w:r>
        <w:rPr>
          <w:rFonts w:cs="David" w:hint="cs"/>
          <w:sz w:val="24"/>
          <w:szCs w:val="24"/>
          <w:rtl/>
        </w:rPr>
        <w:t>חבר הכנסת</w:t>
      </w:r>
      <w:bookmarkEnd w:id="8"/>
      <w:r>
        <w:rPr>
          <w:rFonts w:cs="David" w:hint="cs"/>
          <w:sz w:val="24"/>
          <w:szCs w:val="24"/>
          <w:rtl/>
        </w:rPr>
        <w:t xml:space="preserve"> </w:t>
      </w:r>
      <w:bookmarkStart w:id="9" w:name="PM_Name"/>
      <w:r>
        <w:rPr>
          <w:rFonts w:cs="David" w:hint="cs"/>
          <w:sz w:val="24"/>
          <w:szCs w:val="24"/>
          <w:rtl/>
        </w:rPr>
        <w:t>אראל מרגלית</w:t>
      </w:r>
      <w:bookmarkEnd w:id="9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296948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17A45-1943-4912-8090-F560DD08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575225</vt:r8>
  </property>
</Properties>
</file>