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29" w:rsidRPr="001A7C31" w:rsidRDefault="004033D8" w:rsidP="00A443CF">
      <w:pPr>
        <w:pStyle w:val="HeadHatzaotHok"/>
        <w:jc w:val="right"/>
        <w:rPr>
          <w:rFonts w:asciiTheme="minorBidi" w:hAnsiTheme="minorBidi"/>
          <w:b w:val="0"/>
          <w:bCs w:val="0"/>
          <w:szCs w:val="20"/>
        </w:rPr>
      </w:pPr>
      <w:r w:rsidRPr="001A7C31">
        <w:rPr>
          <w:rFonts w:asciiTheme="minorBidi" w:hAnsiTheme="minorBidi"/>
          <w:b w:val="0"/>
          <w:bCs w:val="0"/>
          <w:szCs w:val="20"/>
          <w:rtl/>
        </w:rPr>
        <w:t xml:space="preserve">מספר פנימי: </w:t>
      </w:r>
      <w:bookmarkStart w:id="0" w:name="LGS_Internal_ID"/>
      <w:r w:rsidRPr="001A7C31">
        <w:rPr>
          <w:rFonts w:asciiTheme="minorBidi" w:hAnsiTheme="minorBidi"/>
          <w:b w:val="0"/>
          <w:bCs w:val="0"/>
          <w:szCs w:val="20"/>
          <w:rtl/>
        </w:rPr>
        <w:t>569400</w:t>
      </w:r>
      <w:bookmarkEnd w:id="0"/>
    </w:p>
    <w:p w:rsidR="00E13C27" w:rsidRPr="001A7C31" w:rsidRDefault="00E13C27" w:rsidP="00A443CF">
      <w:pPr>
        <w:pStyle w:val="HeadHatzaotHok"/>
        <w:rPr>
          <w:rFonts w:asciiTheme="minorBidi" w:hAnsiTheme="minorBidi"/>
          <w:sz w:val="28"/>
          <w:szCs w:val="28"/>
          <w:rtl/>
        </w:rPr>
      </w:pPr>
      <w:r w:rsidRPr="001A7C31">
        <w:rPr>
          <w:rFonts w:asciiTheme="minorBidi" w:hAnsiTheme="minorBidi"/>
          <w:sz w:val="28"/>
          <w:szCs w:val="28"/>
          <w:rtl/>
        </w:rPr>
        <w:t xml:space="preserve">הכנסת </w:t>
      </w:r>
      <w:bookmarkStart w:id="1" w:name="LGS_Knesset_Num"/>
      <w:r w:rsidRPr="001A7C31">
        <w:rPr>
          <w:rFonts w:asciiTheme="minorBidi" w:hAnsiTheme="minorBidi"/>
          <w:sz w:val="28"/>
          <w:szCs w:val="28"/>
          <w:rtl/>
        </w:rPr>
        <w:t>העשרים</w:t>
      </w:r>
      <w:bookmarkEnd w:id="1"/>
    </w:p>
    <w:p w:rsidR="00E13C27" w:rsidRPr="00887DC1" w:rsidRDefault="00E13C27" w:rsidP="00E13C27">
      <w:pPr>
        <w:rPr>
          <w:rFonts w:asciiTheme="minorBidi" w:hAnsiTheme="minorBidi" w:cstheme="minorBidi"/>
          <w:b/>
          <w:bCs/>
          <w:sz w:val="24"/>
          <w:szCs w:val="24"/>
          <w:rtl/>
        </w:rPr>
      </w:pPr>
    </w:p>
    <w:p w:rsidR="006F7FAC" w:rsidRDefault="008F6665" w:rsidP="001A7C31">
      <w:pPr>
        <w:pStyle w:val="David"/>
        <w:spacing w:line="360" w:lineRule="auto"/>
        <w:ind w:left="3544"/>
        <w:rPr>
          <w:rtl/>
        </w:rPr>
      </w:pPr>
      <w:bookmarkStart w:id="2" w:name="LGS_Initiators_List"/>
      <w:r>
        <w:rPr>
          <w:rFonts w:asciiTheme="minorBidi" w:hAnsiTheme="minorBidi"/>
          <w:b/>
          <w:bCs/>
          <w:rtl/>
        </w:rPr>
        <w:t>יוזמים:      חברי הכנסת</w:t>
      </w:r>
      <w:bookmarkEnd w:id="2"/>
      <w:r w:rsidR="00B35784" w:rsidRPr="006F7FAC">
        <w:rPr>
          <w:rFonts w:asciiTheme="minorBidi" w:hAnsiTheme="minorBidi"/>
          <w:b/>
          <w:bCs/>
        </w:rPr>
        <w:tab/>
      </w:r>
      <w:bookmarkStart w:id="3" w:name="LGS_PM_Names"/>
      <w:r>
        <w:rPr>
          <w:rFonts w:asciiTheme="minorBidi" w:hAnsiTheme="minorBidi"/>
          <w:b/>
          <w:bCs/>
          <w:rtl/>
        </w:rPr>
        <w:t>שרן השכל</w:t>
      </w:r>
      <w:r>
        <w:br/>
      </w:r>
      <w:r>
        <w:rPr>
          <w:rFonts w:asciiTheme="minorBidi" w:hAnsiTheme="minorBidi"/>
          <w:b/>
          <w:bCs/>
          <w:rtl/>
        </w:rPr>
        <w:t xml:space="preserve"> </w:t>
      </w:r>
      <w:r>
        <w:tab/>
      </w:r>
      <w:r>
        <w:tab/>
      </w:r>
      <w:r>
        <w:tab/>
      </w:r>
      <w:r>
        <w:tab/>
      </w:r>
      <w:r>
        <w:rPr>
          <w:rFonts w:asciiTheme="minorBidi" w:hAnsiTheme="minorBidi"/>
          <w:b/>
          <w:bCs/>
          <w:rtl/>
        </w:rPr>
        <w:t>נורית קורן</w:t>
      </w:r>
      <w:r>
        <w:br/>
      </w:r>
      <w:r>
        <w:rPr>
          <w:rFonts w:asciiTheme="minorBidi" w:hAnsiTheme="minorBidi"/>
          <w:b/>
          <w:bCs/>
          <w:rtl/>
        </w:rPr>
        <w:t xml:space="preserve"> </w:t>
      </w:r>
      <w:r>
        <w:tab/>
      </w:r>
      <w:r>
        <w:tab/>
      </w:r>
      <w:r>
        <w:tab/>
      </w:r>
      <w:r>
        <w:tab/>
      </w:r>
      <w:r>
        <w:rPr>
          <w:rFonts w:asciiTheme="minorBidi" w:hAnsiTheme="minorBidi"/>
          <w:b/>
          <w:bCs/>
          <w:rtl/>
        </w:rPr>
        <w:t>אברהם נגוסה</w:t>
      </w:r>
      <w:r>
        <w:br/>
      </w:r>
      <w:r>
        <w:rPr>
          <w:rFonts w:asciiTheme="minorBidi" w:hAnsiTheme="minorBidi"/>
          <w:b/>
          <w:bCs/>
          <w:rtl/>
        </w:rPr>
        <w:t xml:space="preserve"> </w:t>
      </w:r>
      <w:r>
        <w:tab/>
      </w:r>
      <w:r>
        <w:tab/>
      </w:r>
      <w:r>
        <w:tab/>
      </w:r>
      <w:r>
        <w:tab/>
      </w:r>
      <w:r>
        <w:rPr>
          <w:rFonts w:asciiTheme="minorBidi" w:hAnsiTheme="minorBidi"/>
          <w:b/>
          <w:bCs/>
          <w:rtl/>
        </w:rPr>
        <w:t>מכלוף מיקי זוהר</w:t>
      </w:r>
      <w:r>
        <w:br/>
      </w:r>
      <w:r>
        <w:rPr>
          <w:rFonts w:asciiTheme="minorBidi" w:hAnsiTheme="minorBidi"/>
          <w:b/>
          <w:bCs/>
          <w:rtl/>
        </w:rPr>
        <w:t xml:space="preserve"> </w:t>
      </w:r>
      <w:r>
        <w:tab/>
      </w:r>
      <w:r>
        <w:tab/>
      </w:r>
      <w:r>
        <w:tab/>
      </w:r>
      <w:r>
        <w:tab/>
      </w:r>
      <w:r>
        <w:rPr>
          <w:rFonts w:asciiTheme="minorBidi" w:hAnsiTheme="minorBidi"/>
          <w:b/>
          <w:bCs/>
          <w:rtl/>
        </w:rPr>
        <w:t>אברהם דיכטר</w:t>
      </w:r>
      <w:r>
        <w:br/>
      </w:r>
      <w:r>
        <w:rPr>
          <w:rFonts w:asciiTheme="minorBidi" w:hAnsiTheme="minorBidi"/>
          <w:b/>
          <w:bCs/>
          <w:rtl/>
        </w:rPr>
        <w:t xml:space="preserve"> </w:t>
      </w:r>
      <w:r>
        <w:tab/>
      </w:r>
      <w:r>
        <w:tab/>
      </w:r>
      <w:r>
        <w:tab/>
      </w:r>
      <w:r>
        <w:tab/>
      </w:r>
      <w:r>
        <w:rPr>
          <w:rFonts w:asciiTheme="minorBidi" w:hAnsiTheme="minorBidi"/>
          <w:b/>
          <w:bCs/>
          <w:rtl/>
        </w:rPr>
        <w:t>אלי כהן</w:t>
      </w:r>
      <w:r>
        <w:br/>
      </w:r>
      <w:r>
        <w:rPr>
          <w:rFonts w:asciiTheme="minorBidi" w:hAnsiTheme="minorBidi"/>
          <w:b/>
          <w:bCs/>
          <w:rtl/>
        </w:rPr>
        <w:t xml:space="preserve"> </w:t>
      </w:r>
      <w:r>
        <w:tab/>
      </w:r>
      <w:r>
        <w:tab/>
      </w:r>
      <w:r>
        <w:tab/>
      </w:r>
      <w:r>
        <w:tab/>
      </w:r>
      <w:r>
        <w:rPr>
          <w:rFonts w:asciiTheme="minorBidi" w:hAnsiTheme="minorBidi"/>
          <w:b/>
          <w:bCs/>
          <w:rtl/>
        </w:rPr>
        <w:t>מיכאל אורן</w:t>
      </w:r>
      <w:bookmarkStart w:id="4" w:name="LGS_Join_List"/>
      <w:bookmarkEnd w:id="3"/>
      <w:r w:rsidR="007D585A" w:rsidRPr="00887DC1">
        <w:rPr>
          <w:rFonts w:asciiTheme="minorBidi" w:hAnsiTheme="minorBidi" w:cstheme="minorBidi"/>
          <w:sz w:val="24"/>
          <w:szCs w:val="24"/>
          <w:rtl/>
        </w:rPr>
        <w:t xml:space="preserve"> </w:t>
      </w:r>
      <w:bookmarkEnd w:id="4"/>
      <w:r w:rsidR="002200A1" w:rsidRPr="00887DC1">
        <w:rPr>
          <w:rFonts w:asciiTheme="minorBidi" w:hAnsiTheme="minorBidi" w:cstheme="minorBidi"/>
          <w:sz w:val="24"/>
          <w:szCs w:val="24"/>
          <w:rtl/>
        </w:rPr>
        <w:tab/>
      </w:r>
      <w:bookmarkStart w:id="5" w:name="LGS_PM_NamesJoin"/>
      <w:r w:rsidR="007D585A" w:rsidRPr="00887DC1">
        <w:rPr>
          <w:rFonts w:asciiTheme="minorBidi" w:hAnsiTheme="minorBidi" w:cstheme="minorBidi"/>
          <w:sz w:val="24"/>
          <w:szCs w:val="24"/>
          <w:rtl/>
        </w:rPr>
        <w:t xml:space="preserve"> </w:t>
      </w:r>
      <w:bookmarkEnd w:id="5"/>
      <w:r w:rsidR="00266D86" w:rsidRPr="00887DC1">
        <w:t>____</w:t>
      </w:r>
      <w:r w:rsidR="00E374F2" w:rsidRPr="00887DC1">
        <w:t>__</w:t>
      </w:r>
      <w:r w:rsidR="00266D86" w:rsidRPr="00887DC1">
        <w:t>________</w:t>
      </w:r>
      <w:r w:rsidR="00241BF3">
        <w:t>_______________________________</w:t>
      </w:r>
      <w:r w:rsidR="00E13C27" w:rsidRPr="00887DC1">
        <w:rPr>
          <w:rtl/>
        </w:rPr>
        <w:tab/>
      </w:r>
      <w:r w:rsidR="00E13C27" w:rsidRPr="00887DC1">
        <w:rPr>
          <w:rtl/>
        </w:rPr>
        <w:tab/>
      </w:r>
      <w:r w:rsidR="00E13C27" w:rsidRPr="00887DC1">
        <w:rPr>
          <w:rtl/>
        </w:rPr>
        <w:tab/>
      </w:r>
      <w:bookmarkStart w:id="6" w:name="Private_Number"/>
      <w:r w:rsidR="001A7C31">
        <w:t xml:space="preserve">              </w:t>
      </w:r>
      <w:r w:rsidR="001A7C31">
        <w:tab/>
      </w:r>
      <w:r w:rsidR="00266D86">
        <w:rPr>
          <w:rtl/>
        </w:rPr>
        <w:t>פ/2254/20</w:t>
      </w:r>
      <w:bookmarkStart w:id="7" w:name="LGS_Subject"/>
      <w:bookmarkEnd w:id="6"/>
    </w:p>
    <w:p w:rsidR="001A7C31" w:rsidRDefault="001A7C31" w:rsidP="001A7C31">
      <w:pPr>
        <w:pStyle w:val="HeadHatzaotHok"/>
        <w:spacing w:before="0"/>
        <w:rPr>
          <w:rtl/>
        </w:rPr>
      </w:pPr>
    </w:p>
    <w:p w:rsidR="00E13C27" w:rsidRDefault="00A443CF" w:rsidP="001A7C31">
      <w:pPr>
        <w:pStyle w:val="HeadHatzaotHok"/>
        <w:spacing w:before="0"/>
        <w:rPr>
          <w:rFonts w:asciiTheme="minorBidi" w:hAnsiTheme="minorBidi" w:cstheme="minorBidi"/>
          <w:sz w:val="24"/>
          <w:szCs w:val="24"/>
          <w:rtl/>
        </w:rPr>
      </w:pPr>
      <w:r w:rsidRPr="006F7FAC">
        <w:rPr>
          <w:rtl/>
        </w:rPr>
        <w:t>הצעת חוק להסדרת רעיית דבורים וייצור דבש, התשע"ו</w:t>
      </w:r>
      <w:r w:rsidR="003F141C">
        <w:rPr>
          <w:rFonts w:hint="eastAsia"/>
          <w:rtl/>
        </w:rPr>
        <w:t>–</w:t>
      </w:r>
      <w:r w:rsidRPr="006F7FAC">
        <w:rPr>
          <w:rtl/>
        </w:rPr>
        <w:t>2015</w:t>
      </w:r>
      <w:bookmarkEnd w:id="7"/>
    </w:p>
    <w:p w:rsidR="001A7C31" w:rsidRDefault="001A7C31" w:rsidP="001A7C31">
      <w:pPr>
        <w:pStyle w:val="HeadHatzaotHok"/>
        <w:spacing w:before="0"/>
        <w:rPr>
          <w:rFonts w:asciiTheme="minorBidi" w:hAnsiTheme="minorBidi" w:cstheme="minorBidi"/>
          <w:sz w:val="24"/>
          <w:szCs w:val="24"/>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5898"/>
      </w:tblGrid>
      <w:tr w:rsidR="003604B2" w:rsidRPr="00C84526" w:rsidTr="00AB5ACE">
        <w:trPr>
          <w:cantSplit/>
          <w:trHeight w:val="60"/>
        </w:trPr>
        <w:tc>
          <w:tcPr>
            <w:tcW w:w="1871" w:type="dxa"/>
          </w:tcPr>
          <w:p w:rsidR="003604B2" w:rsidRPr="00C84526" w:rsidRDefault="003604B2" w:rsidP="00AB5ACE">
            <w:pPr>
              <w:pStyle w:val="TableSideHeading"/>
              <w:keepLines w:val="0"/>
              <w:rPr>
                <w:sz w:val="24"/>
                <w:szCs w:val="24"/>
              </w:rPr>
            </w:pPr>
          </w:p>
        </w:tc>
        <w:tc>
          <w:tcPr>
            <w:tcW w:w="624" w:type="dxa"/>
          </w:tcPr>
          <w:p w:rsidR="003604B2" w:rsidRPr="00C84526" w:rsidRDefault="003604B2" w:rsidP="00AB5ACE">
            <w:pPr>
              <w:tabs>
                <w:tab w:val="left" w:pos="624"/>
                <w:tab w:val="left" w:pos="1247"/>
              </w:tabs>
              <w:snapToGrid w:val="0"/>
              <w:spacing w:before="0" w:line="360" w:lineRule="auto"/>
              <w:ind w:right="57" w:firstLine="0"/>
              <w:jc w:val="left"/>
              <w:rPr>
                <w:rFonts w:ascii="Arial" w:eastAsia="Arial Unicode MS" w:hAnsi="Arial" w:cs="David"/>
                <w:snapToGrid w:val="0"/>
                <w:spacing w:val="0"/>
                <w:sz w:val="24"/>
                <w:szCs w:val="24"/>
              </w:rPr>
            </w:pPr>
          </w:p>
        </w:tc>
        <w:tc>
          <w:tcPr>
            <w:tcW w:w="7146" w:type="dxa"/>
            <w:gridSpan w:val="3"/>
          </w:tcPr>
          <w:p w:rsidR="003604B2" w:rsidRPr="00C84526" w:rsidRDefault="003604B2" w:rsidP="00AB5ACE">
            <w:pPr>
              <w:tabs>
                <w:tab w:val="left" w:pos="624"/>
                <w:tab w:val="left" w:pos="1247"/>
              </w:tabs>
              <w:snapToGrid w:val="0"/>
              <w:spacing w:before="0" w:line="360" w:lineRule="auto"/>
              <w:ind w:firstLine="0"/>
              <w:jc w:val="center"/>
              <w:rPr>
                <w:rFonts w:ascii="Arial" w:eastAsia="Arial Unicode MS" w:hAnsi="Arial" w:cs="David"/>
                <w:b/>
                <w:bCs/>
                <w:snapToGrid w:val="0"/>
                <w:spacing w:val="0"/>
                <w:sz w:val="24"/>
                <w:szCs w:val="24"/>
              </w:rPr>
            </w:pPr>
            <w:r w:rsidRPr="00C84526">
              <w:rPr>
                <w:rFonts w:ascii="Arial" w:eastAsia="Arial Unicode MS" w:hAnsi="Arial" w:cs="David" w:hint="cs"/>
                <w:b/>
                <w:bCs/>
                <w:snapToGrid w:val="0"/>
                <w:spacing w:val="0"/>
                <w:sz w:val="24"/>
                <w:szCs w:val="24"/>
                <w:rtl/>
              </w:rPr>
              <w:t>פרק א': מטרות החוק</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מטרות</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 xml:space="preserve">מטרותיו של חוק זה הן </w:t>
            </w:r>
            <w:r>
              <w:rPr>
                <w:rFonts w:ascii="Arial" w:eastAsia="Arial Unicode MS" w:hAnsi="Arial" w:cs="David" w:hint="eastAsia"/>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w:t>
            </w:r>
            <w:r>
              <w:rPr>
                <w:rFonts w:ascii="Arial" w:eastAsia="Arial Unicode MS" w:hAnsi="Arial" w:cs="David"/>
                <w:snapToGrid w:val="0"/>
                <w:spacing w:val="0"/>
                <w:sz w:val="20"/>
                <w:szCs w:val="26"/>
                <w:rtl/>
              </w:rPr>
              <w:tab/>
            </w:r>
            <w:r w:rsidRPr="00C84526">
              <w:rPr>
                <w:rFonts w:ascii="Arial" w:eastAsia="Arial Unicode MS" w:hAnsi="Arial" w:cs="David" w:hint="eastAsia"/>
                <w:snapToGrid w:val="0"/>
                <w:spacing w:val="0"/>
                <w:sz w:val="20"/>
                <w:szCs w:val="26"/>
                <w:rtl/>
              </w:rPr>
              <w:t>להסדיר</w:t>
            </w:r>
            <w:r w:rsidRPr="00C84526">
              <w:rPr>
                <w:rFonts w:ascii="Arial" w:eastAsia="Arial Unicode MS" w:hAnsi="Arial" w:cs="David" w:hint="cs"/>
                <w:snapToGrid w:val="0"/>
                <w:spacing w:val="0"/>
                <w:sz w:val="20"/>
                <w:szCs w:val="26"/>
                <w:rtl/>
              </w:rPr>
              <w:t xml:space="preserve"> רעיית דבורים </w:t>
            </w:r>
            <w:r>
              <w:rPr>
                <w:rFonts w:ascii="Arial" w:eastAsia="Arial Unicode MS" w:hAnsi="Arial" w:cs="David" w:hint="cs"/>
                <w:snapToGrid w:val="0"/>
                <w:spacing w:val="0"/>
                <w:sz w:val="20"/>
                <w:szCs w:val="26"/>
                <w:rtl/>
              </w:rPr>
              <w:t>על ידי קביעת כמות כוורות מאוכלסות להצבה, מיקומן ותקופת הצבתן</w:t>
            </w:r>
            <w:r w:rsidRPr="00C84526">
              <w:rPr>
                <w:rFonts w:ascii="Arial" w:eastAsia="Arial Unicode MS" w:hAnsi="Arial" w:cs="David" w:hint="cs"/>
                <w:snapToGrid w:val="0"/>
                <w:spacing w:val="0"/>
                <w:sz w:val="20"/>
                <w:szCs w:val="26"/>
                <w:rtl/>
              </w:rPr>
              <w:t>, לשם הבטחת ההגנה על הדבורים</w:t>
            </w:r>
            <w:r>
              <w:rPr>
                <w:rFonts w:ascii="Arial" w:eastAsia="Arial Unicode MS" w:hAnsi="Arial" w:cs="David" w:hint="cs"/>
                <w:snapToGrid w:val="0"/>
                <w:spacing w:val="0"/>
                <w:sz w:val="20"/>
                <w:szCs w:val="26"/>
                <w:rtl/>
              </w:rPr>
              <w:t xml:space="preserve"> כערך טבע</w:t>
            </w:r>
            <w:r w:rsidRPr="00C84526">
              <w:rPr>
                <w:rFonts w:ascii="Arial" w:eastAsia="Arial Unicode MS" w:hAnsi="Arial" w:cs="David" w:hint="cs"/>
                <w:snapToGrid w:val="0"/>
                <w:spacing w:val="0"/>
                <w:sz w:val="20"/>
                <w:szCs w:val="26"/>
                <w:rtl/>
              </w:rPr>
              <w:t xml:space="preserve"> וחלוקה הוגנת של משאבי ציבור</w:t>
            </w:r>
            <w:r>
              <w:rPr>
                <w:rFonts w:ascii="Arial" w:eastAsia="Arial Unicode MS" w:hAnsi="Arial" w:cs="David" w:hint="cs"/>
                <w:snapToGrid w:val="0"/>
                <w:spacing w:val="0"/>
                <w:sz w:val="20"/>
                <w:szCs w:val="26"/>
                <w:rtl/>
              </w:rPr>
              <w:t>;</w:t>
            </w:r>
            <w:r w:rsidRPr="00C84526">
              <w:rPr>
                <w:rFonts w:ascii="Arial" w:eastAsia="Arial Unicode MS" w:hAnsi="Arial" w:cs="David" w:hint="cs"/>
                <w:snapToGrid w:val="0"/>
                <w:spacing w:val="0"/>
                <w:sz w:val="20"/>
                <w:szCs w:val="26"/>
                <w:rtl/>
              </w:rPr>
              <w:t xml:space="preserve"> </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להסדיר את הפיקוח על ייצור דבש, לשם אספקת דבש איכותי לציבור.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jc w:val="center"/>
              <w:rPr>
                <w:rFonts w:ascii="Arial" w:eastAsia="Arial Unicode MS" w:hAnsi="Arial" w:cs="David"/>
                <w:b/>
                <w:bCs/>
                <w:snapToGrid w:val="0"/>
                <w:spacing w:val="0"/>
                <w:sz w:val="20"/>
                <w:szCs w:val="26"/>
                <w:rtl/>
              </w:rPr>
            </w:pPr>
            <w:r w:rsidRPr="00C84526">
              <w:rPr>
                <w:rFonts w:ascii="Arial" w:eastAsia="Arial Unicode MS" w:hAnsi="Arial" w:cs="David" w:hint="cs"/>
                <w:b/>
                <w:bCs/>
                <w:snapToGrid w:val="0"/>
                <w:spacing w:val="0"/>
                <w:sz w:val="20"/>
                <w:szCs w:val="26"/>
                <w:rtl/>
              </w:rPr>
              <w:t>פרק ב': הגדרות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הגדרות</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snapToGrid w:val="0"/>
                <w:spacing w:val="0"/>
                <w:sz w:val="20"/>
                <w:szCs w:val="26"/>
                <w:rtl/>
              </w:rPr>
              <w:t>בחוק זה –</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"דבוראי"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אדם העוסק בגידול דבורים;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"דבורה"</w:t>
            </w:r>
            <w:r>
              <w:rPr>
                <w:rFonts w:ascii="Arial" w:eastAsia="Arial Unicode MS" w:hAnsi="Arial" w:cs="David" w:hint="cs"/>
                <w:snapToGrid w:val="0"/>
                <w:spacing w:val="0"/>
                <w:sz w:val="20"/>
                <w:szCs w:val="26"/>
                <w:rtl/>
              </w:rPr>
              <w:t xml:space="preserve">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דבורת הדבש המערבית (</w:t>
            </w:r>
            <w:r w:rsidRPr="00C84526">
              <w:rPr>
                <w:rFonts w:ascii="Arial" w:eastAsia="Arial Unicode MS" w:hAnsi="Arial" w:cs="David" w:hint="cs"/>
                <w:snapToGrid w:val="0"/>
                <w:spacing w:val="0"/>
                <w:sz w:val="20"/>
                <w:szCs w:val="26"/>
              </w:rPr>
              <w:t>Apis mellifera</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"דבורית"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משפחה של דבורים;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"דבש"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חומר</w:t>
            </w:r>
            <w:r w:rsidRPr="00C84526">
              <w:rPr>
                <w:rFonts w:ascii="Arial" w:eastAsia="Arial Unicode MS" w:hAnsi="Arial" w:cs="David"/>
                <w:snapToGrid w:val="0"/>
                <w:spacing w:val="0"/>
                <w:sz w:val="20"/>
                <w:szCs w:val="26"/>
                <w:rtl/>
              </w:rPr>
              <w:t xml:space="preserve"> טבעי </w:t>
            </w:r>
            <w:r w:rsidRPr="00C84526">
              <w:rPr>
                <w:rFonts w:ascii="Arial" w:eastAsia="Arial Unicode MS" w:hAnsi="Arial" w:cs="David" w:hint="cs"/>
                <w:snapToGrid w:val="0"/>
                <w:spacing w:val="0"/>
                <w:sz w:val="20"/>
                <w:szCs w:val="26"/>
                <w:rtl/>
              </w:rPr>
              <w:t>ו</w:t>
            </w:r>
            <w:r w:rsidRPr="00C84526">
              <w:rPr>
                <w:rFonts w:ascii="Arial" w:eastAsia="Arial Unicode MS" w:hAnsi="Arial" w:cs="David"/>
                <w:snapToGrid w:val="0"/>
                <w:spacing w:val="0"/>
                <w:sz w:val="20"/>
                <w:szCs w:val="26"/>
                <w:rtl/>
              </w:rPr>
              <w:t>מתוק</w:t>
            </w:r>
            <w:r w:rsidRPr="00C84526">
              <w:rPr>
                <w:rFonts w:ascii="Arial" w:eastAsia="Arial Unicode MS" w:hAnsi="Arial" w:cs="David" w:hint="cs"/>
                <w:snapToGrid w:val="0"/>
                <w:spacing w:val="0"/>
                <w:sz w:val="20"/>
                <w:szCs w:val="26"/>
                <w:rtl/>
              </w:rPr>
              <w:t xml:space="preserve">, </w:t>
            </w:r>
            <w:r w:rsidRPr="00C84526">
              <w:rPr>
                <w:rFonts w:ascii="Arial" w:eastAsia="Arial Unicode MS" w:hAnsi="Arial" w:cs="David"/>
                <w:snapToGrid w:val="0"/>
                <w:spacing w:val="0"/>
                <w:sz w:val="20"/>
                <w:szCs w:val="26"/>
                <w:rtl/>
              </w:rPr>
              <w:t xml:space="preserve">המופק על ידי דבורים מצוף </w:t>
            </w:r>
            <w:r w:rsidRPr="00C84526">
              <w:rPr>
                <w:rFonts w:ascii="Arial" w:eastAsia="Arial Unicode MS" w:hAnsi="Arial" w:cs="David" w:hint="cs"/>
                <w:snapToGrid w:val="0"/>
                <w:spacing w:val="0"/>
                <w:sz w:val="20"/>
                <w:szCs w:val="26"/>
                <w:rtl/>
              </w:rPr>
              <w:t>פרחים</w:t>
            </w:r>
            <w:r w:rsidRPr="00C84526">
              <w:rPr>
                <w:rFonts w:ascii="Arial" w:eastAsia="Arial Unicode MS" w:hAnsi="Arial" w:cs="David"/>
                <w:snapToGrid w:val="0"/>
                <w:spacing w:val="0"/>
                <w:sz w:val="20"/>
                <w:szCs w:val="26"/>
                <w:rtl/>
              </w:rPr>
              <w:t xml:space="preserve"> או מ</w:t>
            </w:r>
            <w:r>
              <w:rPr>
                <w:rFonts w:ascii="Arial" w:eastAsia="Arial Unicode MS" w:hAnsi="Arial" w:cs="David" w:hint="cs"/>
                <w:snapToGrid w:val="0"/>
                <w:spacing w:val="0"/>
                <w:sz w:val="20"/>
                <w:szCs w:val="26"/>
                <w:rtl/>
              </w:rPr>
              <w:t>חומרים המופרשים</w:t>
            </w:r>
            <w:r w:rsidRPr="00C84526">
              <w:rPr>
                <w:rFonts w:ascii="Arial" w:eastAsia="Arial Unicode MS" w:hAnsi="Arial" w:cs="David"/>
                <w:snapToGrid w:val="0"/>
                <w:spacing w:val="0"/>
                <w:sz w:val="20"/>
                <w:szCs w:val="26"/>
                <w:rtl/>
              </w:rPr>
              <w:t xml:space="preserve"> </w:t>
            </w:r>
            <w:r>
              <w:rPr>
                <w:rFonts w:ascii="Arial" w:eastAsia="Arial Unicode MS" w:hAnsi="Arial" w:cs="David" w:hint="cs"/>
                <w:snapToGrid w:val="0"/>
                <w:spacing w:val="0"/>
                <w:sz w:val="20"/>
                <w:szCs w:val="26"/>
                <w:rtl/>
              </w:rPr>
              <w:t>מ</w:t>
            </w:r>
            <w:r w:rsidRPr="00C84526">
              <w:rPr>
                <w:rFonts w:ascii="Arial" w:eastAsia="Arial Unicode MS" w:hAnsi="Arial" w:cs="David"/>
                <w:snapToGrid w:val="0"/>
                <w:spacing w:val="0"/>
                <w:sz w:val="20"/>
                <w:szCs w:val="26"/>
                <w:rtl/>
              </w:rPr>
              <w:t>חלקי צמחים אחרי</w:t>
            </w:r>
            <w:r w:rsidRPr="00C84526">
              <w:rPr>
                <w:rFonts w:ascii="Arial" w:eastAsia="Arial Unicode MS" w:hAnsi="Arial" w:cs="David" w:hint="cs"/>
                <w:snapToGrid w:val="0"/>
                <w:spacing w:val="0"/>
                <w:sz w:val="20"/>
                <w:szCs w:val="26"/>
                <w:rtl/>
              </w:rPr>
              <w:t>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"היתר"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היתר להצבת כוורות מאוכלסות לפי סעיף 3;</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"הוועדה" או "ועדת ההיתרים"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הוועדה</w:t>
            </w:r>
            <w:r>
              <w:rPr>
                <w:rFonts w:ascii="Arial" w:eastAsia="Arial Unicode MS" w:hAnsi="Arial" w:cs="David" w:hint="cs"/>
                <w:snapToGrid w:val="0"/>
                <w:spacing w:val="0"/>
                <w:sz w:val="20"/>
                <w:szCs w:val="26"/>
                <w:rtl/>
              </w:rPr>
              <w:t xml:space="preserve"> שמונתה</w:t>
            </w:r>
            <w:r w:rsidRPr="00C84526">
              <w:rPr>
                <w:rFonts w:ascii="Arial" w:eastAsia="Arial Unicode MS" w:hAnsi="Arial" w:cs="David" w:hint="cs"/>
                <w:snapToGrid w:val="0"/>
                <w:spacing w:val="0"/>
                <w:sz w:val="20"/>
                <w:szCs w:val="26"/>
                <w:rtl/>
              </w:rPr>
              <w:t xml:space="preserve"> לפי סעיף </w:t>
            </w:r>
            <w:r>
              <w:rPr>
                <w:rFonts w:ascii="Arial" w:eastAsia="Arial Unicode MS" w:hAnsi="Arial" w:cs="David" w:hint="cs"/>
                <w:snapToGrid w:val="0"/>
                <w:spacing w:val="0"/>
                <w:sz w:val="20"/>
                <w:szCs w:val="26"/>
                <w:rtl/>
              </w:rPr>
              <w:t>5</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pStyle w:val="TableText"/>
              <w:rPr>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"כוורת מאוכלסת"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כלי קיבול </w:t>
            </w:r>
            <w:r>
              <w:rPr>
                <w:rFonts w:ascii="Arial" w:eastAsia="Arial Unicode MS" w:hAnsi="Arial" w:cs="David" w:hint="cs"/>
                <w:snapToGrid w:val="0"/>
                <w:spacing w:val="0"/>
                <w:sz w:val="20"/>
                <w:szCs w:val="26"/>
                <w:rtl/>
              </w:rPr>
              <w:t>ש</w:t>
            </w:r>
            <w:r w:rsidRPr="00C84526">
              <w:rPr>
                <w:rFonts w:ascii="Arial" w:eastAsia="Arial Unicode MS" w:hAnsi="Arial" w:cs="David" w:hint="cs"/>
                <w:snapToGrid w:val="0"/>
                <w:spacing w:val="0"/>
                <w:sz w:val="20"/>
                <w:szCs w:val="26"/>
                <w:rtl/>
              </w:rPr>
              <w:t>בו חיה דבורית;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"מקרקעי ציבור"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מקרקעי ישראל </w:t>
            </w:r>
            <w:r>
              <w:rPr>
                <w:rFonts w:ascii="Arial" w:eastAsia="Arial Unicode MS" w:hAnsi="Arial" w:cs="David" w:hint="cs"/>
                <w:snapToGrid w:val="0"/>
                <w:spacing w:val="0"/>
                <w:sz w:val="20"/>
                <w:szCs w:val="26"/>
                <w:rtl/>
              </w:rPr>
              <w:t>כמשמעותם</w:t>
            </w:r>
            <w:r w:rsidRPr="00C84526">
              <w:rPr>
                <w:rFonts w:ascii="Arial" w:eastAsia="Arial Unicode MS" w:hAnsi="Arial" w:cs="David" w:hint="cs"/>
                <w:snapToGrid w:val="0"/>
                <w:spacing w:val="0"/>
                <w:sz w:val="20"/>
                <w:szCs w:val="26"/>
                <w:rtl/>
              </w:rPr>
              <w:t xml:space="preserve"> בחוק יסוד: מקרקעי ישראל</w:t>
            </w:r>
            <w:r>
              <w:rPr>
                <w:rStyle w:val="a6"/>
                <w:rFonts w:ascii="Arial" w:eastAsia="Arial Unicode MS" w:hAnsi="Arial" w:cs="David"/>
                <w:snapToGrid w:val="0"/>
                <w:spacing w:val="0"/>
                <w:sz w:val="20"/>
                <w:szCs w:val="26"/>
                <w:rtl/>
              </w:rPr>
              <w:footnoteReference w:id="2"/>
            </w:r>
            <w:r>
              <w:rPr>
                <w:rFonts w:ascii="Arial" w:eastAsia="Arial Unicode MS" w:hAnsi="Arial" w:cs="David" w:hint="cs"/>
                <w:snapToGrid w:val="0"/>
                <w:spacing w:val="0"/>
                <w:sz w:val="20"/>
                <w:szCs w:val="26"/>
                <w:rtl/>
              </w:rPr>
              <w:t>,</w:t>
            </w:r>
            <w:r w:rsidRPr="00C84526">
              <w:rPr>
                <w:rFonts w:ascii="Arial" w:eastAsia="Arial Unicode MS" w:hAnsi="Arial" w:cs="David" w:hint="cs"/>
                <w:snapToGrid w:val="0"/>
                <w:spacing w:val="0"/>
                <w:sz w:val="20"/>
                <w:szCs w:val="26"/>
                <w:rtl/>
              </w:rPr>
              <w:t xml:space="preserve"> שלא הוקצו לאדם לשם מגורים או עיבוד חקלאי בחכירה או </w:t>
            </w:r>
            <w:r>
              <w:rPr>
                <w:rFonts w:ascii="Arial" w:eastAsia="Arial Unicode MS" w:hAnsi="Arial" w:cs="David" w:hint="cs"/>
                <w:snapToGrid w:val="0"/>
                <w:spacing w:val="0"/>
                <w:sz w:val="20"/>
                <w:szCs w:val="26"/>
                <w:rtl/>
              </w:rPr>
              <w:t>ב</w:t>
            </w:r>
            <w:r w:rsidRPr="00C84526">
              <w:rPr>
                <w:rFonts w:ascii="Arial" w:eastAsia="Arial Unicode MS" w:hAnsi="Arial" w:cs="David" w:hint="cs"/>
                <w:snapToGrid w:val="0"/>
                <w:spacing w:val="0"/>
                <w:sz w:val="20"/>
                <w:szCs w:val="26"/>
                <w:rtl/>
              </w:rPr>
              <w:t>שכירות;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"המשרד"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משרד החקלאות ופיתוח הכפר;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pStyle w:val="TableText"/>
              <w:rPr>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"רשות מקרקעי ישראל"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כהגדרתה בחוק רשות מקרקעי ישראל, </w:t>
            </w:r>
            <w:r>
              <w:rPr>
                <w:rFonts w:ascii="Arial" w:eastAsia="Arial Unicode MS" w:hAnsi="Arial" w:cs="David" w:hint="cs"/>
                <w:snapToGrid w:val="0"/>
                <w:spacing w:val="0"/>
                <w:sz w:val="20"/>
                <w:szCs w:val="26"/>
                <w:rtl/>
              </w:rPr>
              <w:t>התש"ך</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1960</w:t>
            </w:r>
            <w:r>
              <w:rPr>
                <w:rStyle w:val="a6"/>
                <w:rFonts w:ascii="Arial" w:eastAsia="Arial Unicode MS" w:hAnsi="Arial" w:cs="David"/>
                <w:snapToGrid w:val="0"/>
                <w:spacing w:val="0"/>
                <w:sz w:val="20"/>
                <w:szCs w:val="26"/>
                <w:rtl/>
              </w:rPr>
              <w:footnoteReference w:id="3"/>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pStyle w:val="TableText"/>
              <w:rPr>
                <w:rtl/>
              </w:rPr>
            </w:pPr>
          </w:p>
        </w:tc>
        <w:tc>
          <w:tcPr>
            <w:tcW w:w="7146" w:type="dxa"/>
            <w:gridSpan w:val="3"/>
          </w:tcPr>
          <w:p w:rsidR="003604B2"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"שטח צבאי"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כל אחד מאלה:</w:t>
            </w:r>
          </w:p>
        </w:tc>
      </w:tr>
      <w:tr w:rsidR="003604B2" w:rsidTr="00AB5ACE">
        <w:trPr>
          <w:cantSplit/>
          <w:trHeight w:val="60"/>
        </w:trPr>
        <w:tc>
          <w:tcPr>
            <w:tcW w:w="1871" w:type="dxa"/>
          </w:tcPr>
          <w:p w:rsidR="003604B2" w:rsidRDefault="003604B2" w:rsidP="00AB5ACE">
            <w:pPr>
              <w:pStyle w:val="TableSideHeading"/>
            </w:pPr>
          </w:p>
        </w:tc>
        <w:tc>
          <w:tcPr>
            <w:tcW w:w="624" w:type="dxa"/>
          </w:tcPr>
          <w:p w:rsidR="003604B2" w:rsidRDefault="003604B2" w:rsidP="00AB5ACE">
            <w:pPr>
              <w:pStyle w:val="TableText"/>
            </w:pPr>
          </w:p>
        </w:tc>
        <w:tc>
          <w:tcPr>
            <w:tcW w:w="624" w:type="dxa"/>
          </w:tcPr>
          <w:p w:rsidR="003604B2" w:rsidRDefault="003604B2" w:rsidP="00AB5ACE">
            <w:pPr>
              <w:pStyle w:val="TableText"/>
            </w:pPr>
          </w:p>
        </w:tc>
        <w:tc>
          <w:tcPr>
            <w:tcW w:w="6522" w:type="dxa"/>
            <w:gridSpan w:val="2"/>
          </w:tcPr>
          <w:p w:rsidR="003604B2" w:rsidRDefault="003604B2" w:rsidP="00AB5ACE">
            <w:pPr>
              <w:pStyle w:val="TableBlock"/>
            </w:pPr>
            <w:r w:rsidRPr="00C84526">
              <w:rPr>
                <w:rFonts w:hint="cs"/>
                <w:rtl/>
              </w:rPr>
              <w:t>(1</w:t>
            </w:r>
            <w:r w:rsidRPr="00C84526">
              <w:rPr>
                <w:rtl/>
              </w:rPr>
              <w:t>)</w:t>
            </w:r>
            <w:r w:rsidRPr="00C84526">
              <w:rPr>
                <w:rtl/>
              </w:rPr>
              <w:tab/>
            </w:r>
            <w:r w:rsidRPr="00C84526">
              <w:rPr>
                <w:rFonts w:hint="cs"/>
                <w:rtl/>
              </w:rPr>
              <w:t>מקרקעין שבידי צבא ההגנה לישראל או בידי שלוחה אחרת של מערכת הביטחון שאושרה על ידי שר הביטחון;</w:t>
            </w:r>
          </w:p>
        </w:tc>
      </w:tr>
      <w:tr w:rsidR="003604B2" w:rsidTr="00AB5ACE">
        <w:trPr>
          <w:cantSplit/>
          <w:trHeight w:val="60"/>
        </w:trPr>
        <w:tc>
          <w:tcPr>
            <w:tcW w:w="1871" w:type="dxa"/>
          </w:tcPr>
          <w:p w:rsidR="003604B2" w:rsidRDefault="003604B2" w:rsidP="00AB5ACE">
            <w:pPr>
              <w:pStyle w:val="TableSideHeading"/>
              <w:rPr>
                <w:rtl/>
              </w:rPr>
            </w:pPr>
          </w:p>
        </w:tc>
        <w:tc>
          <w:tcPr>
            <w:tcW w:w="624" w:type="dxa"/>
          </w:tcPr>
          <w:p w:rsidR="003604B2" w:rsidRDefault="003604B2" w:rsidP="00AB5ACE">
            <w:pPr>
              <w:pStyle w:val="TableText"/>
            </w:pPr>
          </w:p>
        </w:tc>
        <w:tc>
          <w:tcPr>
            <w:tcW w:w="624" w:type="dxa"/>
          </w:tcPr>
          <w:p w:rsidR="003604B2" w:rsidRDefault="003604B2" w:rsidP="00AB5ACE">
            <w:pPr>
              <w:pStyle w:val="TableText"/>
            </w:pPr>
          </w:p>
        </w:tc>
        <w:tc>
          <w:tcPr>
            <w:tcW w:w="6522" w:type="dxa"/>
            <w:gridSpan w:val="2"/>
          </w:tcPr>
          <w:p w:rsidR="003604B2" w:rsidRPr="00C84526" w:rsidRDefault="003604B2" w:rsidP="00AB5ACE">
            <w:pPr>
              <w:pStyle w:val="TableBlock"/>
              <w:rPr>
                <w:rtl/>
              </w:rPr>
            </w:pPr>
            <w:r w:rsidRPr="00C84526">
              <w:rPr>
                <w:rFonts w:hint="cs"/>
                <w:rtl/>
              </w:rPr>
              <w:t>(2)</w:t>
            </w:r>
            <w:r w:rsidRPr="00C84526">
              <w:rPr>
                <w:rtl/>
              </w:rPr>
              <w:tab/>
            </w:r>
            <w:r w:rsidRPr="00C84526">
              <w:rPr>
                <w:rFonts w:hint="cs"/>
                <w:rtl/>
              </w:rPr>
              <w:t>שטח מסוגר כמשמעותו בתקנה 125 לתקנות ההגנה (שעת חירום), 1945</w:t>
            </w:r>
            <w:r>
              <w:rPr>
                <w:rStyle w:val="a6"/>
                <w:rtl/>
              </w:rPr>
              <w:footnoteReference w:id="4"/>
            </w:r>
            <w:r w:rsidRPr="00C84526">
              <w:rPr>
                <w:rFonts w:hint="cs"/>
                <w:rtl/>
              </w:rPr>
              <w:t>;</w:t>
            </w:r>
          </w:p>
        </w:tc>
      </w:tr>
      <w:tr w:rsidR="003604B2" w:rsidTr="00AB5ACE">
        <w:trPr>
          <w:cantSplit/>
          <w:trHeight w:val="60"/>
        </w:trPr>
        <w:tc>
          <w:tcPr>
            <w:tcW w:w="1871" w:type="dxa"/>
          </w:tcPr>
          <w:p w:rsidR="003604B2" w:rsidRDefault="003604B2" w:rsidP="00AB5ACE">
            <w:pPr>
              <w:pStyle w:val="TableSideHeading"/>
              <w:rPr>
                <w:rtl/>
              </w:rPr>
            </w:pPr>
          </w:p>
        </w:tc>
        <w:tc>
          <w:tcPr>
            <w:tcW w:w="624" w:type="dxa"/>
          </w:tcPr>
          <w:p w:rsidR="003604B2" w:rsidRDefault="003604B2" w:rsidP="00AB5ACE">
            <w:pPr>
              <w:pStyle w:val="TableText"/>
            </w:pPr>
          </w:p>
        </w:tc>
        <w:tc>
          <w:tcPr>
            <w:tcW w:w="624" w:type="dxa"/>
          </w:tcPr>
          <w:p w:rsidR="003604B2" w:rsidRDefault="003604B2" w:rsidP="00AB5ACE">
            <w:pPr>
              <w:pStyle w:val="TableText"/>
            </w:pPr>
          </w:p>
        </w:tc>
        <w:tc>
          <w:tcPr>
            <w:tcW w:w="6522" w:type="dxa"/>
            <w:gridSpan w:val="2"/>
          </w:tcPr>
          <w:p w:rsidR="003604B2" w:rsidRPr="00C84526" w:rsidRDefault="003604B2" w:rsidP="00AB5ACE">
            <w:pPr>
              <w:pStyle w:val="TableBlock"/>
              <w:rPr>
                <w:rtl/>
              </w:rPr>
            </w:pPr>
            <w:r w:rsidRPr="00C84526">
              <w:rPr>
                <w:rFonts w:hint="cs"/>
                <w:rtl/>
              </w:rPr>
              <w:t>(3)</w:t>
            </w:r>
            <w:r w:rsidRPr="00C84526">
              <w:rPr>
                <w:rtl/>
              </w:rPr>
              <w:tab/>
            </w:r>
            <w:r w:rsidRPr="00C84526">
              <w:rPr>
                <w:rFonts w:hint="cs"/>
                <w:rtl/>
              </w:rPr>
              <w:t>מקרקעין הנתונים לאיום ביטחוני, אשר אושרו ככאלה על ידי שר הבי</w:t>
            </w:r>
            <w:r>
              <w:rPr>
                <w:rFonts w:hint="cs"/>
                <w:rtl/>
              </w:rPr>
              <w:t>טחון או מי שהוא הסמיך לעניין זה;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"תקופת האגירה" </w:t>
            </w:r>
            <w:r w:rsidRPr="00C84526">
              <w:rPr>
                <w:rFonts w:ascii="Arial" w:eastAsia="Arial Unicode MS" w:hAnsi="Arial" w:cs="David"/>
                <w:snapToGrid w:val="0"/>
                <w:spacing w:val="0"/>
                <w:sz w:val="20"/>
                <w:szCs w:val="26"/>
                <w:rtl/>
              </w:rPr>
              <w:t>–</w:t>
            </w:r>
            <w:r>
              <w:rPr>
                <w:rFonts w:ascii="Arial" w:eastAsia="Arial Unicode MS" w:hAnsi="Arial" w:cs="David" w:hint="cs"/>
                <w:snapToGrid w:val="0"/>
                <w:spacing w:val="0"/>
                <w:sz w:val="20"/>
                <w:szCs w:val="26"/>
                <w:rtl/>
              </w:rPr>
              <w:t xml:space="preserve"> </w:t>
            </w:r>
            <w:r w:rsidRPr="00C84526">
              <w:rPr>
                <w:rFonts w:ascii="Arial" w:eastAsia="Arial Unicode MS" w:hAnsi="Arial" w:cs="David" w:hint="cs"/>
                <w:snapToGrid w:val="0"/>
                <w:spacing w:val="0"/>
                <w:sz w:val="20"/>
                <w:szCs w:val="26"/>
                <w:rtl/>
              </w:rPr>
              <w:t>1 במרס עד 31 באוגוסט בכל שנה</w:t>
            </w:r>
            <w:r>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"השר"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שר החקלאות ופיתוח הכפר.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jc w:val="center"/>
              <w:rPr>
                <w:rFonts w:ascii="Arial" w:eastAsia="Arial Unicode MS" w:hAnsi="Arial" w:cs="David"/>
                <w:b/>
                <w:bCs/>
                <w:snapToGrid w:val="0"/>
                <w:spacing w:val="0"/>
                <w:sz w:val="20"/>
                <w:szCs w:val="26"/>
                <w:rtl/>
              </w:rPr>
            </w:pPr>
            <w:r w:rsidRPr="00C84526">
              <w:rPr>
                <w:rFonts w:ascii="Arial" w:eastAsia="Arial Unicode MS" w:hAnsi="Arial" w:cs="David" w:hint="cs"/>
                <w:b/>
                <w:bCs/>
                <w:snapToGrid w:val="0"/>
                <w:spacing w:val="0"/>
                <w:sz w:val="20"/>
                <w:szCs w:val="26"/>
                <w:rtl/>
              </w:rPr>
              <w:t>פרק ג': הסדרת רעיית דבורים במקרקעי ציבור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היתר להצבת כוורות מאוכלסות במקרקעי ציבור</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3.</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לא יציב אדם כוורות מאוכלסות במקרקעי ציבור בתקופת האגירה</w:t>
            </w:r>
            <w:r>
              <w:rPr>
                <w:rFonts w:ascii="Arial" w:eastAsia="Arial Unicode MS" w:hAnsi="Arial" w:cs="David" w:hint="cs"/>
                <w:snapToGrid w:val="0"/>
                <w:spacing w:val="0"/>
                <w:sz w:val="20"/>
                <w:szCs w:val="26"/>
                <w:rtl/>
              </w:rPr>
              <w:t>,</w:t>
            </w:r>
            <w:r w:rsidRPr="00C84526">
              <w:rPr>
                <w:rFonts w:ascii="Arial" w:eastAsia="Arial Unicode MS" w:hAnsi="Arial" w:cs="David" w:hint="cs"/>
                <w:snapToGrid w:val="0"/>
                <w:spacing w:val="0"/>
                <w:sz w:val="20"/>
                <w:szCs w:val="26"/>
                <w:rtl/>
              </w:rPr>
              <w:t xml:space="preserve"> ב</w:t>
            </w:r>
            <w:r>
              <w:rPr>
                <w:rFonts w:ascii="Arial" w:eastAsia="Arial Unicode MS" w:hAnsi="Arial" w:cs="David" w:hint="cs"/>
                <w:snapToGrid w:val="0"/>
                <w:spacing w:val="0"/>
                <w:sz w:val="20"/>
                <w:szCs w:val="26"/>
                <w:rtl/>
              </w:rPr>
              <w:t>אופן</w:t>
            </w:r>
            <w:r w:rsidRPr="00C84526">
              <w:rPr>
                <w:rFonts w:ascii="Arial" w:eastAsia="Arial Unicode MS" w:hAnsi="Arial" w:cs="David" w:hint="cs"/>
                <w:snapToGrid w:val="0"/>
                <w:spacing w:val="0"/>
                <w:sz w:val="20"/>
                <w:szCs w:val="26"/>
                <w:rtl/>
              </w:rPr>
              <w:t xml:space="preserve"> שבו יש לדבורים גישה ל</w:t>
            </w:r>
            <w:r>
              <w:rPr>
                <w:rFonts w:ascii="Arial" w:eastAsia="Arial Unicode MS" w:hAnsi="Arial" w:cs="David" w:hint="cs"/>
                <w:snapToGrid w:val="0"/>
                <w:spacing w:val="0"/>
                <w:sz w:val="20"/>
                <w:szCs w:val="26"/>
                <w:rtl/>
              </w:rPr>
              <w:t>אוויר</w:t>
            </w:r>
            <w:r w:rsidRPr="00C84526">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פתוח, אלא בהיתר מאת הוועדה ובהתאם לתנאיו.</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היתר </w:t>
            </w:r>
            <w:r w:rsidRPr="00C84526">
              <w:rPr>
                <w:rFonts w:ascii="Arial" w:eastAsia="Arial Unicode MS" w:hAnsi="Arial" w:cs="David"/>
                <w:snapToGrid w:val="0"/>
                <w:spacing w:val="0"/>
                <w:sz w:val="20"/>
                <w:szCs w:val="26"/>
                <w:rtl/>
              </w:rPr>
              <w:t xml:space="preserve">לפי סעיף זה הוא אישי ואינו ניתן להעברה אלא </w:t>
            </w:r>
            <w:r>
              <w:rPr>
                <w:rFonts w:ascii="Arial" w:eastAsia="Arial Unicode MS" w:hAnsi="Arial" w:cs="David" w:hint="cs"/>
                <w:snapToGrid w:val="0"/>
                <w:spacing w:val="0"/>
                <w:sz w:val="20"/>
                <w:szCs w:val="26"/>
                <w:rtl/>
              </w:rPr>
              <w:t>ע</w:t>
            </w:r>
            <w:r w:rsidRPr="00C84526">
              <w:rPr>
                <w:rFonts w:ascii="Arial" w:eastAsia="Arial Unicode MS" w:hAnsi="Arial" w:cs="David"/>
                <w:snapToGrid w:val="0"/>
                <w:spacing w:val="0"/>
                <w:sz w:val="20"/>
                <w:szCs w:val="26"/>
                <w:rtl/>
              </w:rPr>
              <w:t>ל</w:t>
            </w:r>
            <w:r>
              <w:rPr>
                <w:rFonts w:ascii="Arial" w:eastAsia="Arial Unicode MS" w:hAnsi="Arial" w:cs="David" w:hint="cs"/>
                <w:snapToGrid w:val="0"/>
                <w:spacing w:val="0"/>
                <w:sz w:val="20"/>
                <w:szCs w:val="26"/>
                <w:rtl/>
              </w:rPr>
              <w:t xml:space="preserve"> </w:t>
            </w:r>
            <w:r w:rsidRPr="00C84526">
              <w:rPr>
                <w:rFonts w:ascii="Arial" w:eastAsia="Arial Unicode MS" w:hAnsi="Arial" w:cs="David"/>
                <w:snapToGrid w:val="0"/>
                <w:spacing w:val="0"/>
                <w:sz w:val="20"/>
                <w:szCs w:val="26"/>
                <w:rtl/>
              </w:rPr>
              <w:t>פי אישור בכתב מ</w:t>
            </w:r>
            <w:r>
              <w:rPr>
                <w:rFonts w:ascii="Arial" w:eastAsia="Arial Unicode MS" w:hAnsi="Arial" w:cs="David" w:hint="cs"/>
                <w:snapToGrid w:val="0"/>
                <w:spacing w:val="0"/>
                <w:sz w:val="20"/>
                <w:szCs w:val="26"/>
                <w:rtl/>
              </w:rPr>
              <w:t>ו</w:t>
            </w:r>
            <w:r w:rsidRPr="00C84526">
              <w:rPr>
                <w:rFonts w:ascii="Arial" w:eastAsia="Arial Unicode MS" w:hAnsi="Arial" w:cs="David"/>
                <w:snapToGrid w:val="0"/>
                <w:spacing w:val="0"/>
                <w:sz w:val="20"/>
                <w:szCs w:val="26"/>
                <w:rtl/>
              </w:rPr>
              <w:t>ועדת ההיתרים ובהתאם לתקנות לפי סעיף 25(3</w:t>
            </w:r>
            <w:r w:rsidRPr="00C84526">
              <w:rPr>
                <w:rFonts w:ascii="Arial" w:eastAsia="Arial Unicode MS" w:hAnsi="Arial" w:cs="David"/>
                <w:snapToGrid w:val="0"/>
                <w:spacing w:val="0"/>
                <w:sz w:val="20"/>
                <w:szCs w:val="26"/>
              </w:rPr>
              <w:t>(</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כוחו של</w:t>
            </w:r>
            <w:r w:rsidRPr="00C84526">
              <w:rPr>
                <w:rFonts w:ascii="Arial" w:eastAsia="Arial Unicode MS" w:hAnsi="Arial" w:cs="David" w:hint="cs"/>
                <w:snapToGrid w:val="0"/>
                <w:spacing w:val="0"/>
                <w:sz w:val="20"/>
                <w:szCs w:val="26"/>
                <w:rtl/>
              </w:rPr>
              <w:t xml:space="preserve"> היתר לעניין זכויות במקרקעין</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 xml:space="preserve">4. </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 xml:space="preserve">אין בכוחו של </w:t>
            </w:r>
            <w:r w:rsidRPr="00C84526">
              <w:rPr>
                <w:rFonts w:ascii="Arial" w:eastAsia="Arial Unicode MS" w:hAnsi="Arial" w:cs="David" w:hint="eastAsia"/>
                <w:snapToGrid w:val="0"/>
                <w:spacing w:val="0"/>
                <w:sz w:val="20"/>
                <w:szCs w:val="26"/>
                <w:rtl/>
              </w:rPr>
              <w:t>היתר</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לפי</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חוק</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זה</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cs"/>
                <w:snapToGrid w:val="0"/>
                <w:spacing w:val="0"/>
                <w:sz w:val="20"/>
                <w:szCs w:val="26"/>
                <w:rtl/>
              </w:rPr>
              <w:t xml:space="preserve">להקנות זכות כלשהי </w:t>
            </w:r>
            <w:r w:rsidRPr="00C84526">
              <w:rPr>
                <w:rFonts w:ascii="Arial" w:eastAsia="Arial Unicode MS" w:hAnsi="Arial" w:cs="David" w:hint="eastAsia"/>
                <w:snapToGrid w:val="0"/>
                <w:spacing w:val="0"/>
                <w:sz w:val="20"/>
                <w:szCs w:val="26"/>
                <w:rtl/>
              </w:rPr>
              <w:t>במקרקעין</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cs"/>
                <w:snapToGrid w:val="0"/>
                <w:spacing w:val="0"/>
                <w:sz w:val="20"/>
                <w:szCs w:val="26"/>
                <w:rtl/>
              </w:rPr>
              <w:t xml:space="preserve">או </w:t>
            </w:r>
            <w:r w:rsidRPr="00C84526">
              <w:rPr>
                <w:rFonts w:ascii="Arial" w:eastAsia="Arial Unicode MS" w:hAnsi="Arial" w:cs="David" w:hint="eastAsia"/>
                <w:snapToGrid w:val="0"/>
                <w:spacing w:val="0"/>
                <w:sz w:val="20"/>
                <w:szCs w:val="26"/>
                <w:rtl/>
              </w:rPr>
              <w:t>לגרוע</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מכ</w:t>
            </w:r>
            <w:r w:rsidRPr="00C84526">
              <w:rPr>
                <w:rFonts w:ascii="Arial" w:eastAsia="Arial Unicode MS" w:hAnsi="Arial" w:cs="David" w:hint="cs"/>
                <w:snapToGrid w:val="0"/>
                <w:spacing w:val="0"/>
                <w:sz w:val="20"/>
                <w:szCs w:val="26"/>
                <w:rtl/>
              </w:rPr>
              <w:t xml:space="preserve">ל זכות לפי כל דין במקרקעין, למעט הזכות להציב כוורות מאוכלסות במקרקעין ולטפל בהן. </w:t>
            </w:r>
          </w:p>
        </w:tc>
      </w:tr>
      <w:tr w:rsidR="003604B2" w:rsidRPr="00C84526" w:rsidTr="00AB5ACE">
        <w:trPr>
          <w:cantSplit/>
          <w:trHeight w:val="60"/>
        </w:trPr>
        <w:tc>
          <w:tcPr>
            <w:tcW w:w="1871" w:type="dxa"/>
          </w:tcPr>
          <w:p w:rsidR="003604B2"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ועדת ההיתרים</w:t>
            </w:r>
          </w:p>
        </w:tc>
        <w:tc>
          <w:tcPr>
            <w:tcW w:w="624" w:type="dxa"/>
          </w:tcPr>
          <w:p w:rsidR="003604B2" w:rsidRPr="00C84526" w:rsidRDefault="003604B2" w:rsidP="00AB5ACE">
            <w:pPr>
              <w:pStyle w:val="TableText"/>
              <w:rPr>
                <w:rtl/>
              </w:rPr>
            </w:pPr>
            <w:r>
              <w:rPr>
                <w:rFonts w:hint="cs"/>
                <w:rtl/>
              </w:rPr>
              <w:t>5.</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השר ימנה ועדה לעניין מתן היתרים להצבת כוורות מאוכלסות</w:t>
            </w:r>
            <w:r w:rsidRPr="00C84526">
              <w:rPr>
                <w:rFonts w:ascii="Arial" w:eastAsia="Arial Unicode MS" w:hAnsi="Arial" w:cs="David" w:hint="cs"/>
                <w:snapToGrid w:val="0"/>
                <w:spacing w:val="0"/>
                <w:sz w:val="20"/>
                <w:szCs w:val="26"/>
                <w:rtl/>
              </w:rPr>
              <w:t>, שחבריה יהיו נציג המנהל הכללי של המשרד, והוא יהיה היושב ראש, נציג נוסף מבין עובדי המשרד שהוא איש מקצוע בתחום גידול דבורי</w:t>
            </w:r>
            <w:r>
              <w:rPr>
                <w:rFonts w:ascii="Arial" w:eastAsia="Arial Unicode MS" w:hAnsi="Arial" w:cs="David" w:hint="cs"/>
                <w:snapToGrid w:val="0"/>
                <w:spacing w:val="0"/>
                <w:sz w:val="20"/>
                <w:szCs w:val="26"/>
                <w:rtl/>
              </w:rPr>
              <w:t>ם, ונציג ציבור שיבחר שר המשפטים;</w:t>
            </w:r>
            <w:r w:rsidRPr="00C84526">
              <w:rPr>
                <w:rFonts w:ascii="Arial" w:eastAsia="Arial Unicode MS" w:hAnsi="Arial" w:cs="David" w:hint="cs"/>
                <w:snapToGrid w:val="0"/>
                <w:spacing w:val="0"/>
                <w:sz w:val="20"/>
                <w:szCs w:val="26"/>
                <w:rtl/>
              </w:rPr>
              <w:t xml:space="preserve"> תקופת כהונתו של חבר בוועדה לא תעלה על ארבע שנים.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קביעת נקודות להצבת כוורות</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6.</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ועדת ההיתרים תקבע בכל שנה את נקודות הציון במקרקעי הציבור שלגביהם יוקצו ההיתרים להצבת כוורות בשנה העוקבת, תקופת ההצבה בכל נקודות הציון לפי ימים וחודשים ומספר הכוורות המאוכלסות שניתן להציב בכל אחת מנקודות הציון; לשם כך תשקול הוועדה את השיקולים האלה: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 xml:space="preserve">(1) </w:t>
            </w:r>
            <w:r w:rsidRPr="00C84526">
              <w:rPr>
                <w:rFonts w:ascii="Arial" w:eastAsia="Arial Unicode MS" w:hAnsi="Arial" w:cs="David"/>
                <w:snapToGrid w:val="0"/>
                <w:spacing w:val="0"/>
                <w:sz w:val="20"/>
                <w:szCs w:val="26"/>
                <w:rtl/>
              </w:rPr>
              <w:tab/>
            </w:r>
            <w:r w:rsidRPr="00C84526">
              <w:rPr>
                <w:rFonts w:ascii="Arial" w:eastAsia="Arial Unicode MS" w:hAnsi="Arial" w:cs="David" w:hint="eastAsia"/>
                <w:snapToGrid w:val="0"/>
                <w:spacing w:val="0"/>
                <w:sz w:val="20"/>
                <w:szCs w:val="26"/>
                <w:rtl/>
              </w:rPr>
              <w:t>כושר</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הנשיאה</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של</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הצומח</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cs"/>
                <w:snapToGrid w:val="0"/>
                <w:spacing w:val="0"/>
                <w:sz w:val="20"/>
                <w:szCs w:val="26"/>
                <w:rtl/>
              </w:rPr>
              <w:t>באיזור שלגביו מתבקש ההיתר, בשים לב בין היתר למאפייני האקלים, הקרקע, הצמחייה והגידולים החקלאיים שיש בו;</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החשש לגרימת מטרד לציבור או השפעות סביבתיות משמעותיות אחרות עקב הצבת כוורות מאוכלסות במקום לגביו מתבקש ההיתר.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פרסום הקצאת ההיתרים</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7</w:t>
            </w:r>
            <w:r w:rsidRPr="00C84526">
              <w:rPr>
                <w:rFonts w:ascii="Arial" w:eastAsia="Arial Unicode MS" w:hAnsi="Arial" w:cs="David" w:hint="cs"/>
                <w:snapToGrid w:val="0"/>
                <w:spacing w:val="0"/>
                <w:sz w:val="20"/>
                <w:szCs w:val="26"/>
                <w:rtl/>
              </w:rPr>
              <w:t>.</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ועדת ההיתרים תפרסם באתר האינטרנט של </w:t>
            </w:r>
            <w:r>
              <w:rPr>
                <w:rFonts w:ascii="Arial" w:eastAsia="Arial Unicode MS" w:hAnsi="Arial" w:cs="David" w:hint="cs"/>
                <w:snapToGrid w:val="0"/>
                <w:spacing w:val="0"/>
                <w:sz w:val="20"/>
                <w:szCs w:val="26"/>
                <w:rtl/>
              </w:rPr>
              <w:t>המשרד</w:t>
            </w:r>
            <w:r w:rsidRPr="00C84526">
              <w:rPr>
                <w:rFonts w:ascii="Arial" w:eastAsia="Arial Unicode MS" w:hAnsi="Arial" w:cs="David" w:hint="cs"/>
                <w:snapToGrid w:val="0"/>
                <w:spacing w:val="0"/>
                <w:sz w:val="20"/>
                <w:szCs w:val="26"/>
                <w:rtl/>
              </w:rPr>
              <w:t>, עד ה-30 בספטמבר בכל שנה</w:t>
            </w:r>
            <w:r>
              <w:rPr>
                <w:rFonts w:ascii="Arial" w:eastAsia="Arial Unicode MS" w:hAnsi="Arial" w:cs="David" w:hint="cs"/>
                <w:snapToGrid w:val="0"/>
                <w:spacing w:val="0"/>
                <w:sz w:val="20"/>
                <w:szCs w:val="26"/>
                <w:rtl/>
              </w:rPr>
              <w:t>, הודעה לציבור שתכלול את כל אלה</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פרטי נקודות הציון</w:t>
            </w:r>
            <w:r>
              <w:rPr>
                <w:rFonts w:ascii="Arial" w:eastAsia="Arial Unicode MS" w:hAnsi="Arial" w:cs="David" w:hint="cs"/>
                <w:snapToGrid w:val="0"/>
                <w:spacing w:val="0"/>
                <w:sz w:val="20"/>
                <w:szCs w:val="26"/>
                <w:rtl/>
              </w:rPr>
              <w:t xml:space="preserve"> של המקרקעין</w:t>
            </w:r>
            <w:r w:rsidRPr="00C84526">
              <w:rPr>
                <w:rFonts w:ascii="Arial" w:eastAsia="Arial Unicode MS" w:hAnsi="Arial" w:cs="David" w:hint="cs"/>
                <w:snapToGrid w:val="0"/>
                <w:spacing w:val="0"/>
                <w:sz w:val="20"/>
                <w:szCs w:val="26"/>
                <w:rtl/>
              </w:rPr>
              <w:t xml:space="preserve"> שנקבעו בהתאם לסעיף </w:t>
            </w:r>
            <w:r>
              <w:rPr>
                <w:rFonts w:ascii="Arial" w:eastAsia="Arial Unicode MS" w:hAnsi="Arial" w:cs="David" w:hint="cs"/>
                <w:snapToGrid w:val="0"/>
                <w:spacing w:val="0"/>
                <w:sz w:val="20"/>
                <w:szCs w:val="26"/>
                <w:rtl/>
              </w:rPr>
              <w:t>6,שלגביהם יינתנו היתרים בשנה העוקבת</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הודעה על המועד להגשת בקשות לקבלת היתרים בשנה העוקבת, ופרטים נוספים בקשר להגשת הבקשות בהתאם לתקנות לפי סעיף 25(1).</w:t>
            </w:r>
          </w:p>
        </w:tc>
      </w:tr>
      <w:tr w:rsidR="003604B2" w:rsidTr="00AB5ACE">
        <w:trPr>
          <w:cantSplit/>
          <w:trHeight w:val="60"/>
        </w:trPr>
        <w:tc>
          <w:tcPr>
            <w:tcW w:w="1871" w:type="dxa"/>
          </w:tcPr>
          <w:p w:rsidR="003604B2" w:rsidRDefault="003604B2" w:rsidP="00AB5ACE">
            <w:pPr>
              <w:pStyle w:val="TableSideHeading"/>
            </w:pPr>
          </w:p>
        </w:tc>
        <w:tc>
          <w:tcPr>
            <w:tcW w:w="624" w:type="dxa"/>
          </w:tcPr>
          <w:p w:rsidR="003604B2" w:rsidRDefault="003604B2" w:rsidP="00AB5ACE">
            <w:pPr>
              <w:pStyle w:val="TableText"/>
            </w:pPr>
          </w:p>
        </w:tc>
        <w:tc>
          <w:tcPr>
            <w:tcW w:w="7146" w:type="dxa"/>
            <w:gridSpan w:val="3"/>
          </w:tcPr>
          <w:p w:rsidR="003604B2" w:rsidRPr="00C34DE2" w:rsidRDefault="003604B2" w:rsidP="00AB5ACE">
            <w:pPr>
              <w:pStyle w:val="TableBlock"/>
            </w:pPr>
            <w:r>
              <w:rPr>
                <w:rFonts w:hint="cs"/>
                <w:rtl/>
              </w:rPr>
              <w:t>(ב)</w:t>
            </w:r>
            <w:r>
              <w:rPr>
                <w:rtl/>
              </w:rPr>
              <w:tab/>
            </w:r>
            <w:r>
              <w:rPr>
                <w:rFonts w:hint="cs"/>
                <w:rtl/>
              </w:rPr>
              <w:t>הפנייה להודעה לפי סעיף קטן (א) תפורסם בשני עיתונים יומיים בעלי תפוצה רחבה.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ג</w:t>
            </w:r>
            <w:r w:rsidRPr="00C84526">
              <w:rPr>
                <w:rFonts w:ascii="Arial" w:eastAsia="Arial Unicode MS" w:hAnsi="Arial" w:cs="David" w:hint="cs"/>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ועדת ההיתרים תפרסם באתר האינטרנט של המשרד, עד ה-15 בפברואר בכל שנה, את רשימת ההיתרים שהוקצו באותה שנה ואת </w:t>
            </w:r>
            <w:r>
              <w:rPr>
                <w:rFonts w:ascii="Arial" w:eastAsia="Arial Unicode MS" w:hAnsi="Arial" w:cs="David" w:hint="cs"/>
                <w:snapToGrid w:val="0"/>
                <w:spacing w:val="0"/>
                <w:sz w:val="20"/>
                <w:szCs w:val="26"/>
                <w:rtl/>
              </w:rPr>
              <w:t>פרטיו</w:t>
            </w:r>
            <w:r w:rsidRPr="00C84526">
              <w:rPr>
                <w:rFonts w:ascii="Arial" w:eastAsia="Arial Unicode MS" w:hAnsi="Arial" w:cs="David" w:hint="cs"/>
                <w:snapToGrid w:val="0"/>
                <w:spacing w:val="0"/>
                <w:sz w:val="20"/>
                <w:szCs w:val="26"/>
                <w:rtl/>
              </w:rPr>
              <w:t xml:space="preserve"> של מי שהוקצה לו היתר בכל נקודת ציון בכל תקופה באותה שנה, </w:t>
            </w:r>
            <w:r>
              <w:rPr>
                <w:rFonts w:ascii="Arial" w:eastAsia="Arial Unicode MS" w:hAnsi="Arial" w:cs="David" w:hint="cs"/>
                <w:snapToGrid w:val="0"/>
                <w:spacing w:val="0"/>
                <w:sz w:val="20"/>
                <w:szCs w:val="26"/>
                <w:rtl/>
              </w:rPr>
              <w:t>ובכלל זה</w:t>
            </w:r>
            <w:r w:rsidRPr="00C84526">
              <w:rPr>
                <w:rFonts w:ascii="Arial" w:eastAsia="Arial Unicode MS" w:hAnsi="Arial" w:cs="David" w:hint="cs"/>
                <w:snapToGrid w:val="0"/>
                <w:spacing w:val="0"/>
                <w:sz w:val="20"/>
                <w:szCs w:val="26"/>
                <w:rtl/>
              </w:rPr>
              <w:t xml:space="preserve"> שם, שם משפחה ויישוב, לצד פרטי נקודות הציון לפי </w:t>
            </w:r>
            <w:r>
              <w:rPr>
                <w:rFonts w:ascii="Arial" w:eastAsia="Arial Unicode MS" w:hAnsi="Arial" w:cs="David" w:hint="cs"/>
                <w:snapToGrid w:val="0"/>
                <w:spacing w:val="0"/>
                <w:sz w:val="20"/>
                <w:szCs w:val="26"/>
                <w:rtl/>
              </w:rPr>
              <w:t>סעיף קטן (א)(1)</w:t>
            </w:r>
            <w:r w:rsidRPr="00C84526">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ו</w:t>
            </w:r>
            <w:r w:rsidRPr="00C84526">
              <w:rPr>
                <w:rFonts w:ascii="Arial" w:eastAsia="Arial Unicode MS" w:hAnsi="Arial" w:cs="David" w:hint="cs"/>
                <w:snapToGrid w:val="0"/>
                <w:spacing w:val="0"/>
                <w:sz w:val="20"/>
                <w:szCs w:val="26"/>
                <w:rtl/>
              </w:rPr>
              <w:t xml:space="preserve">אם לא הוקצה היתר </w:t>
            </w:r>
            <w:r>
              <w:rPr>
                <w:rFonts w:ascii="Arial" w:eastAsia="Arial Unicode MS" w:hAnsi="Arial" w:cs="David" w:hint="eastAsia"/>
                <w:snapToGrid w:val="0"/>
                <w:spacing w:val="0"/>
                <w:sz w:val="20"/>
                <w:szCs w:val="26"/>
                <w:rtl/>
              </w:rPr>
              <w:t>–</w:t>
            </w:r>
            <w:r>
              <w:rPr>
                <w:rFonts w:ascii="Arial" w:eastAsia="Arial Unicode MS" w:hAnsi="Arial" w:cs="David" w:hint="cs"/>
                <w:snapToGrid w:val="0"/>
                <w:spacing w:val="0"/>
                <w:sz w:val="20"/>
                <w:szCs w:val="26"/>
                <w:rtl/>
              </w:rPr>
              <w:t xml:space="preserve"> </w:t>
            </w:r>
            <w:r w:rsidRPr="00C84526">
              <w:rPr>
                <w:rFonts w:ascii="Arial" w:eastAsia="Arial Unicode MS" w:hAnsi="Arial" w:cs="David" w:hint="cs"/>
                <w:snapToGrid w:val="0"/>
                <w:spacing w:val="0"/>
                <w:sz w:val="20"/>
                <w:szCs w:val="26"/>
                <w:rtl/>
              </w:rPr>
              <w:t>ציון העובדה שלא הוקצה היתר;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ד</w:t>
            </w:r>
            <w:r w:rsidRPr="00C84526">
              <w:rPr>
                <w:rFonts w:ascii="Arial" w:eastAsia="Arial Unicode MS" w:hAnsi="Arial" w:cs="David" w:hint="cs"/>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היתר יהא תקף אף אם לא </w:t>
            </w:r>
            <w:r>
              <w:rPr>
                <w:rFonts w:ascii="Arial" w:eastAsia="Arial Unicode MS" w:hAnsi="Arial" w:cs="David" w:hint="cs"/>
                <w:snapToGrid w:val="0"/>
                <w:spacing w:val="0"/>
                <w:sz w:val="20"/>
                <w:szCs w:val="26"/>
                <w:rtl/>
              </w:rPr>
              <w:t>פורסמה</w:t>
            </w:r>
            <w:r w:rsidRPr="00C84526">
              <w:rPr>
                <w:rFonts w:ascii="Arial" w:eastAsia="Arial Unicode MS" w:hAnsi="Arial" w:cs="David" w:hint="cs"/>
                <w:snapToGrid w:val="0"/>
                <w:spacing w:val="0"/>
                <w:sz w:val="20"/>
                <w:szCs w:val="26"/>
                <w:rtl/>
              </w:rPr>
              <w:t xml:space="preserve"> לגביו </w:t>
            </w:r>
            <w:r>
              <w:rPr>
                <w:rFonts w:ascii="Arial" w:eastAsia="Arial Unicode MS" w:hAnsi="Arial" w:cs="David" w:hint="cs"/>
                <w:snapToGrid w:val="0"/>
                <w:spacing w:val="0"/>
                <w:sz w:val="20"/>
                <w:szCs w:val="26"/>
                <w:rtl/>
              </w:rPr>
              <w:t>הודעה</w:t>
            </w:r>
            <w:r w:rsidRPr="00C84526">
              <w:rPr>
                <w:rFonts w:ascii="Arial" w:eastAsia="Arial Unicode MS" w:hAnsi="Arial" w:cs="David" w:hint="cs"/>
                <w:snapToGrid w:val="0"/>
                <w:spacing w:val="0"/>
                <w:sz w:val="20"/>
                <w:szCs w:val="26"/>
                <w:rtl/>
              </w:rPr>
              <w:t xml:space="preserve"> לפי</w:t>
            </w:r>
            <w:r>
              <w:rPr>
                <w:rFonts w:ascii="Arial" w:eastAsia="Arial Unicode MS" w:hAnsi="Arial" w:cs="David" w:hint="cs"/>
                <w:snapToGrid w:val="0"/>
                <w:spacing w:val="0"/>
                <w:sz w:val="20"/>
                <w:szCs w:val="26"/>
                <w:rtl/>
              </w:rPr>
              <w:t xml:space="preserve"> הוראות</w:t>
            </w:r>
            <w:r w:rsidRPr="00C84526">
              <w:rPr>
                <w:rFonts w:ascii="Arial" w:eastAsia="Arial Unicode MS" w:hAnsi="Arial" w:cs="David" w:hint="cs"/>
                <w:snapToGrid w:val="0"/>
                <w:spacing w:val="0"/>
                <w:sz w:val="20"/>
                <w:szCs w:val="26"/>
                <w:rtl/>
              </w:rPr>
              <w:t xml:space="preserve"> סעיף </w:t>
            </w:r>
            <w:r>
              <w:rPr>
                <w:rFonts w:ascii="Arial" w:eastAsia="Arial Unicode MS" w:hAnsi="Arial" w:cs="David" w:hint="cs"/>
                <w:snapToGrid w:val="0"/>
                <w:spacing w:val="0"/>
                <w:sz w:val="20"/>
                <w:szCs w:val="26"/>
                <w:rtl/>
              </w:rPr>
              <w:t>קטן (ג)</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מתן היתר</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8.</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דבוראי העומד בתנאי סעיף </w:t>
            </w:r>
            <w:r>
              <w:rPr>
                <w:rFonts w:ascii="Arial" w:eastAsia="Arial Unicode MS" w:hAnsi="Arial" w:cs="David" w:hint="cs"/>
                <w:snapToGrid w:val="0"/>
                <w:spacing w:val="0"/>
                <w:sz w:val="20"/>
                <w:szCs w:val="26"/>
                <w:rtl/>
              </w:rPr>
              <w:t>9</w:t>
            </w:r>
            <w:r w:rsidRPr="00C84526">
              <w:rPr>
                <w:rFonts w:ascii="Arial" w:eastAsia="Arial Unicode MS" w:hAnsi="Arial" w:cs="David" w:hint="cs"/>
                <w:snapToGrid w:val="0"/>
                <w:spacing w:val="0"/>
                <w:sz w:val="20"/>
                <w:szCs w:val="26"/>
                <w:rtl/>
              </w:rPr>
              <w:t>(א) רשאי להגיש</w:t>
            </w:r>
            <w:r>
              <w:rPr>
                <w:rFonts w:ascii="Arial" w:eastAsia="Arial Unicode MS" w:hAnsi="Arial" w:cs="David" w:hint="cs"/>
                <w:snapToGrid w:val="0"/>
                <w:spacing w:val="0"/>
                <w:sz w:val="20"/>
                <w:szCs w:val="26"/>
                <w:rtl/>
              </w:rPr>
              <w:t xml:space="preserve"> לוועדת ההיתרים</w:t>
            </w:r>
            <w:r w:rsidRPr="00C84526">
              <w:rPr>
                <w:rFonts w:ascii="Arial" w:eastAsia="Arial Unicode MS" w:hAnsi="Arial" w:cs="David" w:hint="cs"/>
                <w:snapToGrid w:val="0"/>
                <w:spacing w:val="0"/>
                <w:sz w:val="20"/>
                <w:szCs w:val="26"/>
                <w:rtl/>
              </w:rPr>
              <w:t xml:space="preserve"> בקשה להיתר ב</w:t>
            </w:r>
            <w:r w:rsidRPr="00C84526">
              <w:rPr>
                <w:rFonts w:ascii="Arial" w:eastAsia="Arial Unicode MS" w:hAnsi="Arial" w:cs="David"/>
                <w:snapToGrid w:val="0"/>
                <w:spacing w:val="0"/>
                <w:sz w:val="20"/>
                <w:szCs w:val="26"/>
                <w:rtl/>
              </w:rPr>
              <w:t>נקודות הציון במקרקעין שלגביהם הוקצו היתרים ופורסמו בהתאם</w:t>
            </w:r>
            <w:r>
              <w:rPr>
                <w:rFonts w:ascii="Arial" w:eastAsia="Arial Unicode MS" w:hAnsi="Arial" w:cs="David" w:hint="cs"/>
                <w:snapToGrid w:val="0"/>
                <w:spacing w:val="0"/>
                <w:sz w:val="20"/>
                <w:szCs w:val="26"/>
                <w:rtl/>
              </w:rPr>
              <w:t xml:space="preserve"> להוראות</w:t>
            </w:r>
            <w:r w:rsidRPr="00C84526">
              <w:rPr>
                <w:rFonts w:ascii="Arial" w:eastAsia="Arial Unicode MS" w:hAnsi="Arial" w:cs="David"/>
                <w:snapToGrid w:val="0"/>
                <w:spacing w:val="0"/>
                <w:sz w:val="20"/>
                <w:szCs w:val="26"/>
                <w:rtl/>
              </w:rPr>
              <w:t xml:space="preserve"> סעיף </w:t>
            </w:r>
            <w:r>
              <w:rPr>
                <w:rFonts w:ascii="Arial" w:eastAsia="Arial Unicode MS" w:hAnsi="Arial" w:cs="David" w:hint="cs"/>
                <w:snapToGrid w:val="0"/>
                <w:spacing w:val="0"/>
                <w:sz w:val="20"/>
                <w:szCs w:val="26"/>
                <w:rtl/>
              </w:rPr>
              <w:t>6</w:t>
            </w:r>
            <w:r w:rsidRPr="00C84526">
              <w:rPr>
                <w:rFonts w:ascii="Arial" w:eastAsia="Arial Unicode MS" w:hAnsi="Arial" w:cs="David" w:hint="cs"/>
                <w:snapToGrid w:val="0"/>
                <w:spacing w:val="0"/>
                <w:sz w:val="20"/>
                <w:szCs w:val="26"/>
                <w:rtl/>
              </w:rPr>
              <w:t>(א).</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הגיש דבוראי בקשה להיתר לגבי נקודה שבה ניתן לו היתר בשנה הקודמת, יינתן לו היתר.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(ג)</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הוגשו בקשות רבות להיתר על נקודה אחת, יערך מכרז בין המבקשים, </w:t>
            </w:r>
            <w:r>
              <w:rPr>
                <w:rFonts w:ascii="Arial" w:eastAsia="Arial Unicode MS" w:hAnsi="Arial" w:cs="David" w:hint="cs"/>
                <w:snapToGrid w:val="0"/>
                <w:spacing w:val="0"/>
                <w:sz w:val="20"/>
                <w:szCs w:val="26"/>
                <w:rtl/>
              </w:rPr>
              <w:t xml:space="preserve">ואולם, </w:t>
            </w:r>
            <w:r w:rsidRPr="00C84526">
              <w:rPr>
                <w:rFonts w:ascii="Arial" w:eastAsia="Arial Unicode MS" w:hAnsi="Arial" w:cs="David" w:hint="cs"/>
                <w:snapToGrid w:val="0"/>
                <w:spacing w:val="0"/>
                <w:sz w:val="20"/>
                <w:szCs w:val="26"/>
                <w:rtl/>
              </w:rPr>
              <w:t>לא יערך מכרז לגבי יותר מעשירית מהנקודות ש</w:t>
            </w:r>
            <w:r>
              <w:rPr>
                <w:rFonts w:ascii="Arial" w:eastAsia="Arial Unicode MS" w:hAnsi="Arial" w:cs="David" w:hint="cs"/>
                <w:snapToGrid w:val="0"/>
                <w:spacing w:val="0"/>
                <w:sz w:val="20"/>
                <w:szCs w:val="26"/>
                <w:rtl/>
              </w:rPr>
              <w:t>ניתנו</w:t>
            </w:r>
            <w:r w:rsidRPr="00C84526">
              <w:rPr>
                <w:rFonts w:ascii="Arial" w:eastAsia="Arial Unicode MS" w:hAnsi="Arial" w:cs="David" w:hint="cs"/>
                <w:snapToGrid w:val="0"/>
                <w:spacing w:val="0"/>
                <w:sz w:val="20"/>
                <w:szCs w:val="26"/>
                <w:rtl/>
              </w:rPr>
              <w:t xml:space="preserve"> לדבוראי </w:t>
            </w:r>
            <w:r>
              <w:rPr>
                <w:rFonts w:ascii="Arial" w:eastAsia="Arial Unicode MS" w:hAnsi="Arial" w:cs="David" w:hint="cs"/>
                <w:snapToGrid w:val="0"/>
                <w:spacing w:val="0"/>
                <w:sz w:val="20"/>
                <w:szCs w:val="26"/>
                <w:rtl/>
              </w:rPr>
              <w:t xml:space="preserve">היתרים לגביהם </w:t>
            </w:r>
            <w:r w:rsidRPr="00C84526">
              <w:rPr>
                <w:rFonts w:ascii="Arial" w:eastAsia="Arial Unicode MS" w:hAnsi="Arial" w:cs="David" w:hint="cs"/>
                <w:snapToGrid w:val="0"/>
                <w:spacing w:val="0"/>
                <w:sz w:val="20"/>
                <w:szCs w:val="26"/>
                <w:rtl/>
              </w:rPr>
              <w:t>בשנה ה</w:t>
            </w:r>
            <w:r>
              <w:rPr>
                <w:rFonts w:ascii="Arial" w:eastAsia="Arial Unicode MS" w:hAnsi="Arial" w:cs="David" w:hint="cs"/>
                <w:snapToGrid w:val="0"/>
                <w:spacing w:val="0"/>
                <w:sz w:val="20"/>
                <w:szCs w:val="26"/>
                <w:rtl/>
              </w:rPr>
              <w:t>חולפת,</w:t>
            </w:r>
            <w:r w:rsidRPr="00C84526">
              <w:rPr>
                <w:rFonts w:ascii="Arial" w:eastAsia="Arial Unicode MS" w:hAnsi="Arial" w:cs="David" w:hint="cs"/>
                <w:snapToGrid w:val="0"/>
                <w:spacing w:val="0"/>
                <w:sz w:val="20"/>
                <w:szCs w:val="26"/>
                <w:rtl/>
              </w:rPr>
              <w:t xml:space="preserve"> והוא הגיש לגביהן בקשה להיתר</w:t>
            </w:r>
            <w:r>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(ד)</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המכרז </w:t>
            </w:r>
            <w:r>
              <w:rPr>
                <w:rFonts w:ascii="Arial" w:eastAsia="Arial Unicode MS" w:hAnsi="Arial" w:cs="David" w:hint="cs"/>
                <w:snapToGrid w:val="0"/>
                <w:spacing w:val="0"/>
                <w:sz w:val="20"/>
                <w:szCs w:val="26"/>
                <w:rtl/>
              </w:rPr>
              <w:t>יהיה</w:t>
            </w:r>
            <w:r w:rsidRPr="00C84526">
              <w:rPr>
                <w:rFonts w:ascii="Arial" w:eastAsia="Arial Unicode MS" w:hAnsi="Arial" w:cs="David" w:hint="cs"/>
                <w:snapToGrid w:val="0"/>
                <w:spacing w:val="0"/>
                <w:sz w:val="20"/>
                <w:szCs w:val="26"/>
                <w:rtl/>
              </w:rPr>
              <w:t xml:space="preserve"> פומבי, גלוי ושקוף, </w:t>
            </w:r>
            <w:r>
              <w:rPr>
                <w:rFonts w:ascii="Arial" w:eastAsia="Arial Unicode MS" w:hAnsi="Arial" w:cs="David" w:hint="cs"/>
                <w:snapToGrid w:val="0"/>
                <w:spacing w:val="0"/>
                <w:sz w:val="20"/>
                <w:szCs w:val="26"/>
                <w:rtl/>
              </w:rPr>
              <w:t xml:space="preserve">ויפורסם </w:t>
            </w:r>
            <w:r w:rsidRPr="00C84526">
              <w:rPr>
                <w:rFonts w:ascii="Arial" w:eastAsia="Arial Unicode MS" w:hAnsi="Arial" w:cs="David" w:hint="cs"/>
                <w:snapToGrid w:val="0"/>
                <w:spacing w:val="0"/>
                <w:sz w:val="20"/>
                <w:szCs w:val="26"/>
                <w:rtl/>
              </w:rPr>
              <w:t xml:space="preserve">באתר האינטרנט של </w:t>
            </w:r>
            <w:r>
              <w:rPr>
                <w:rFonts w:ascii="Arial" w:eastAsia="Arial Unicode MS" w:hAnsi="Arial" w:cs="David" w:hint="cs"/>
                <w:snapToGrid w:val="0"/>
                <w:spacing w:val="0"/>
                <w:sz w:val="20"/>
                <w:szCs w:val="26"/>
                <w:rtl/>
              </w:rPr>
              <w:t>המשרד</w:t>
            </w:r>
            <w:r w:rsidRPr="00C84526">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ו</w:t>
            </w:r>
            <w:r w:rsidRPr="00C84526">
              <w:rPr>
                <w:rFonts w:ascii="Arial" w:eastAsia="Arial Unicode MS" w:hAnsi="Arial" w:cs="David" w:hint="cs"/>
                <w:snapToGrid w:val="0"/>
                <w:spacing w:val="0"/>
                <w:sz w:val="20"/>
                <w:szCs w:val="26"/>
                <w:rtl/>
              </w:rPr>
              <w:t>בדרך שייקבע השר בתקנות.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(ה)</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ועדת ההיתרים תעניק היתר במכרז כאמור בסעיף זה בהתאם לטבלת ניקוד שיקבע השר, אשר תשקף שיקולים אלה: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התמורה הכספית שיציעו המבקשים עבור קבלת ההיתר, כשיקול עיקרי;</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הצורך בהקצאת היתרים לדבוראים חדשים;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קירבת הנקודה למקום מגוריו של מבקש ההיתר.</w:t>
            </w:r>
          </w:p>
        </w:tc>
      </w:tr>
      <w:tr w:rsidR="003604B2" w:rsidTr="00AB5ACE">
        <w:trPr>
          <w:cantSplit/>
          <w:trHeight w:val="60"/>
        </w:trPr>
        <w:tc>
          <w:tcPr>
            <w:tcW w:w="1871" w:type="dxa"/>
          </w:tcPr>
          <w:p w:rsidR="003604B2" w:rsidRDefault="003604B2" w:rsidP="00AB5ACE">
            <w:pPr>
              <w:pStyle w:val="TableSideHeading"/>
            </w:pPr>
          </w:p>
        </w:tc>
        <w:tc>
          <w:tcPr>
            <w:tcW w:w="624" w:type="dxa"/>
          </w:tcPr>
          <w:p w:rsidR="003604B2" w:rsidRDefault="003604B2" w:rsidP="00AB5ACE">
            <w:pPr>
              <w:pStyle w:val="TableText"/>
            </w:pPr>
          </w:p>
        </w:tc>
        <w:tc>
          <w:tcPr>
            <w:tcW w:w="7146" w:type="dxa"/>
            <w:gridSpan w:val="3"/>
          </w:tcPr>
          <w:p w:rsidR="003604B2" w:rsidRPr="00C34DE2" w:rsidRDefault="003604B2" w:rsidP="00AB5ACE">
            <w:pPr>
              <w:pStyle w:val="TableBlock"/>
            </w:pPr>
            <w:r>
              <w:rPr>
                <w:rFonts w:hint="cs"/>
                <w:rtl/>
              </w:rPr>
              <w:t>(ו)</w:t>
            </w:r>
            <w:r>
              <w:rPr>
                <w:rtl/>
              </w:rPr>
              <w:tab/>
            </w:r>
            <w:r>
              <w:rPr>
                <w:rFonts w:hint="cs"/>
                <w:rtl/>
              </w:rPr>
              <w:t>החליטה הוועדה לקבל בקשה להיתר, תיתן למבקש היתר שתוקפו יהיה לשנה אחת, אלא אם כן החליטה הוועדה תקופת תוקף קצרה יותר מנימוקים שתרשום בהחלטתה.</w:t>
            </w:r>
          </w:p>
        </w:tc>
      </w:tr>
      <w:tr w:rsidR="003604B2" w:rsidTr="00AB5ACE">
        <w:trPr>
          <w:cantSplit/>
          <w:trHeight w:val="60"/>
        </w:trPr>
        <w:tc>
          <w:tcPr>
            <w:tcW w:w="1871" w:type="dxa"/>
          </w:tcPr>
          <w:p w:rsidR="003604B2" w:rsidRDefault="003604B2" w:rsidP="00AB5ACE">
            <w:pPr>
              <w:pStyle w:val="TableSideHeading"/>
              <w:rPr>
                <w:rtl/>
              </w:rPr>
            </w:pPr>
          </w:p>
        </w:tc>
        <w:tc>
          <w:tcPr>
            <w:tcW w:w="624" w:type="dxa"/>
          </w:tcPr>
          <w:p w:rsidR="003604B2" w:rsidRDefault="003604B2" w:rsidP="00AB5ACE">
            <w:pPr>
              <w:pStyle w:val="TableText"/>
            </w:pPr>
          </w:p>
        </w:tc>
        <w:tc>
          <w:tcPr>
            <w:tcW w:w="7146" w:type="dxa"/>
            <w:gridSpan w:val="3"/>
          </w:tcPr>
          <w:p w:rsidR="003604B2" w:rsidRDefault="003604B2" w:rsidP="00AB5ACE">
            <w:pPr>
              <w:pStyle w:val="TableBlock"/>
              <w:rPr>
                <w:rtl/>
              </w:rPr>
            </w:pPr>
            <w:r>
              <w:rPr>
                <w:rFonts w:hint="cs"/>
                <w:rtl/>
              </w:rPr>
              <w:t>(ז)</w:t>
            </w:r>
            <w:r>
              <w:rPr>
                <w:rtl/>
              </w:rPr>
              <w:tab/>
            </w:r>
            <w:r>
              <w:rPr>
                <w:rFonts w:hint="cs"/>
                <w:rtl/>
              </w:rPr>
              <w:t>החליטה הוועדה לדחות בקשה להיתר, תודיע על כך למבקש בהודעה מנומקת בכתב.</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ח</w:t>
            </w:r>
            <w:r w:rsidRPr="00C84526">
              <w:rPr>
                <w:rFonts w:ascii="Arial" w:eastAsia="Arial Unicode MS" w:hAnsi="Arial" w:cs="David" w:hint="cs"/>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דבוראי ש</w:t>
            </w:r>
            <w:r>
              <w:rPr>
                <w:rFonts w:ascii="Arial" w:eastAsia="Arial Unicode MS" w:hAnsi="Arial" w:cs="David" w:hint="cs"/>
                <w:snapToGrid w:val="0"/>
                <w:spacing w:val="0"/>
                <w:sz w:val="20"/>
                <w:szCs w:val="26"/>
                <w:rtl/>
              </w:rPr>
              <w:t>לא זכה במכרזים שפורסמו</w:t>
            </w:r>
            <w:r w:rsidRPr="00C84526">
              <w:rPr>
                <w:rFonts w:ascii="Arial" w:eastAsia="Arial Unicode MS" w:hAnsi="Arial" w:cs="David" w:hint="cs"/>
                <w:snapToGrid w:val="0"/>
                <w:spacing w:val="0"/>
                <w:sz w:val="20"/>
                <w:szCs w:val="26"/>
                <w:rtl/>
              </w:rPr>
              <w:t xml:space="preserve"> בעשירית מהמכרזים </w:t>
            </w:r>
            <w:r>
              <w:rPr>
                <w:rFonts w:ascii="Arial" w:eastAsia="Arial Unicode MS" w:hAnsi="Arial" w:cs="David" w:hint="cs"/>
                <w:snapToGrid w:val="0"/>
                <w:spacing w:val="0"/>
                <w:sz w:val="20"/>
                <w:szCs w:val="26"/>
                <w:rtl/>
              </w:rPr>
              <w:t>מ</w:t>
            </w:r>
            <w:r w:rsidRPr="00C84526">
              <w:rPr>
                <w:rFonts w:ascii="Arial" w:eastAsia="Arial Unicode MS" w:hAnsi="Arial" w:cs="David" w:hint="cs"/>
                <w:snapToGrid w:val="0"/>
                <w:spacing w:val="0"/>
                <w:sz w:val="20"/>
                <w:szCs w:val="26"/>
                <w:rtl/>
              </w:rPr>
              <w:t xml:space="preserve">נקודות </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ציון במקרקעין שבהן ניתנו לו היתרים בשנה החולפת, יהיה זכאי להיתר בשאר נקודות הציון במקרקעין</w:t>
            </w:r>
            <w:r w:rsidRPr="00C84526">
              <w:rPr>
                <w:rFonts w:ascii="Arial" w:eastAsia="Arial Unicode MS" w:hAnsi="Arial" w:cs="David"/>
                <w:snapToGrid w:val="0"/>
                <w:spacing w:val="0"/>
                <w:sz w:val="20"/>
                <w:szCs w:val="26"/>
                <w:rtl/>
              </w:rPr>
              <w:t>, שבה</w:t>
            </w:r>
            <w:r w:rsidRPr="00C84526">
              <w:rPr>
                <w:rFonts w:ascii="Arial" w:eastAsia="Arial Unicode MS" w:hAnsi="Arial" w:cs="David" w:hint="eastAsia"/>
                <w:snapToGrid w:val="0"/>
                <w:spacing w:val="0"/>
                <w:sz w:val="20"/>
                <w:szCs w:val="26"/>
                <w:rtl/>
              </w:rPr>
              <w:t>ן</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eastAsia"/>
                <w:snapToGrid w:val="0"/>
                <w:spacing w:val="0"/>
                <w:sz w:val="20"/>
                <w:szCs w:val="26"/>
                <w:rtl/>
              </w:rPr>
              <w:t>ניתנו</w:t>
            </w:r>
            <w:r w:rsidRPr="00C84526">
              <w:rPr>
                <w:rFonts w:ascii="Arial" w:eastAsia="Arial Unicode MS" w:hAnsi="Arial" w:cs="David"/>
                <w:snapToGrid w:val="0"/>
                <w:spacing w:val="0"/>
                <w:sz w:val="20"/>
                <w:szCs w:val="26"/>
                <w:rtl/>
              </w:rPr>
              <w:t xml:space="preserve"> לו היתר</w:t>
            </w:r>
            <w:r w:rsidRPr="00C84526">
              <w:rPr>
                <w:rFonts w:ascii="Arial" w:eastAsia="Arial Unicode MS" w:hAnsi="Arial" w:cs="David" w:hint="eastAsia"/>
                <w:snapToGrid w:val="0"/>
                <w:spacing w:val="0"/>
                <w:sz w:val="20"/>
                <w:szCs w:val="26"/>
                <w:rtl/>
              </w:rPr>
              <w:t>ים</w:t>
            </w:r>
            <w:r w:rsidRPr="00C84526">
              <w:rPr>
                <w:rFonts w:ascii="Arial" w:eastAsia="Arial Unicode MS" w:hAnsi="Arial" w:cs="David"/>
                <w:snapToGrid w:val="0"/>
                <w:spacing w:val="0"/>
                <w:sz w:val="20"/>
                <w:szCs w:val="26"/>
                <w:rtl/>
              </w:rPr>
              <w:t xml:space="preserve"> בשנה החולפת.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תנאים מקדמיים למתן היתר</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9.</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ועדת ההיתרים לא תיתן היתר </w:t>
            </w:r>
            <w:r>
              <w:rPr>
                <w:rFonts w:ascii="Arial" w:eastAsia="Arial Unicode MS" w:hAnsi="Arial" w:cs="David" w:hint="cs"/>
                <w:snapToGrid w:val="0"/>
                <w:spacing w:val="0"/>
                <w:sz w:val="20"/>
                <w:szCs w:val="26"/>
                <w:rtl/>
              </w:rPr>
              <w:t>אם התקיים אחד מאלה:</w:t>
            </w:r>
            <w:r w:rsidRPr="00C84526">
              <w:rPr>
                <w:rFonts w:ascii="Arial" w:eastAsia="Arial Unicode MS" w:hAnsi="Arial" w:cs="David" w:hint="cs"/>
                <w:snapToGrid w:val="0"/>
                <w:spacing w:val="0"/>
                <w:sz w:val="20"/>
                <w:szCs w:val="26"/>
                <w:rtl/>
              </w:rPr>
              <w:t xml:space="preserve"> </w:t>
            </w:r>
          </w:p>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לא שולם הסכום שהתחייב מבקש ההיתר לשלם במכרז לפי סעיף </w:t>
            </w:r>
            <w:r>
              <w:rPr>
                <w:rFonts w:ascii="Arial" w:eastAsia="Arial Unicode MS" w:hAnsi="Arial" w:cs="David" w:hint="cs"/>
                <w:snapToGrid w:val="0"/>
                <w:spacing w:val="0"/>
                <w:sz w:val="20"/>
                <w:szCs w:val="26"/>
                <w:rtl/>
              </w:rPr>
              <w:t>8</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t>מבקש</w:t>
            </w:r>
            <w:r>
              <w:rPr>
                <w:rFonts w:ascii="Arial" w:eastAsia="Arial Unicode MS" w:hAnsi="Arial" w:cs="David" w:hint="cs"/>
                <w:snapToGrid w:val="0"/>
                <w:spacing w:val="0"/>
                <w:sz w:val="20"/>
                <w:szCs w:val="26"/>
                <w:rtl/>
              </w:rPr>
              <w:t xml:space="preserve"> ההיתר הורשע</w:t>
            </w:r>
            <w:r w:rsidRPr="00C84526">
              <w:rPr>
                <w:rFonts w:ascii="Arial" w:eastAsia="Arial Unicode MS" w:hAnsi="Arial" w:cs="David"/>
                <w:snapToGrid w:val="0"/>
                <w:spacing w:val="0"/>
                <w:sz w:val="20"/>
                <w:szCs w:val="26"/>
                <w:rtl/>
              </w:rPr>
              <w:t xml:space="preserve"> בעבירה אשר מפאת חומרתה, מהותה או נסיבותיה, אין מקום לדעת הוועדה לתת לו היתר, או הוטל </w:t>
            </w:r>
            <w:r>
              <w:rPr>
                <w:rFonts w:ascii="Arial" w:eastAsia="Arial Unicode MS" w:hAnsi="Arial" w:cs="David" w:hint="cs"/>
                <w:snapToGrid w:val="0"/>
                <w:spacing w:val="0"/>
                <w:sz w:val="20"/>
                <w:szCs w:val="26"/>
                <w:rtl/>
              </w:rPr>
              <w:t xml:space="preserve">על מבקש ההיתר </w:t>
            </w:r>
            <w:r w:rsidRPr="00C84526">
              <w:rPr>
                <w:rFonts w:ascii="Arial" w:eastAsia="Arial Unicode MS" w:hAnsi="Arial" w:cs="David"/>
                <w:snapToGrid w:val="0"/>
                <w:spacing w:val="0"/>
                <w:sz w:val="20"/>
                <w:szCs w:val="26"/>
                <w:rtl/>
              </w:rPr>
              <w:t>קנס מנהלי בשל עבירה כאמור, או לא עמד</w:t>
            </w:r>
            <w:r>
              <w:rPr>
                <w:rFonts w:ascii="Arial" w:eastAsia="Arial Unicode MS" w:hAnsi="Arial" w:cs="David" w:hint="cs"/>
                <w:snapToGrid w:val="0"/>
                <w:spacing w:val="0"/>
                <w:sz w:val="20"/>
                <w:szCs w:val="26"/>
                <w:rtl/>
              </w:rPr>
              <w:t xml:space="preserve"> מבקש ההיתר</w:t>
            </w:r>
            <w:r w:rsidRPr="00C84526">
              <w:rPr>
                <w:rFonts w:ascii="Arial" w:eastAsia="Arial Unicode MS" w:hAnsi="Arial" w:cs="David"/>
                <w:snapToGrid w:val="0"/>
                <w:spacing w:val="0"/>
                <w:sz w:val="20"/>
                <w:szCs w:val="26"/>
                <w:rtl/>
              </w:rPr>
              <w:t xml:space="preserve"> בהוראות בעניין הצבת כוורות מאוכלסות לפי חוק זה, אף אם לא הורשע בעבירה או הוטל עליו קנס מנהלי בשל הפרתן</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 xml:space="preserve">התבקש היתר </w:t>
            </w:r>
            <w:r w:rsidRPr="00C84526">
              <w:rPr>
                <w:rFonts w:ascii="Arial" w:eastAsia="Arial Unicode MS" w:hAnsi="Arial" w:cs="David" w:hint="cs"/>
                <w:snapToGrid w:val="0"/>
                <w:spacing w:val="0"/>
                <w:sz w:val="20"/>
                <w:szCs w:val="26"/>
                <w:rtl/>
              </w:rPr>
              <w:t>במקרקעין</w:t>
            </w:r>
            <w:r>
              <w:rPr>
                <w:rFonts w:ascii="Arial" w:eastAsia="Arial Unicode MS" w:hAnsi="Arial" w:cs="David" w:hint="cs"/>
                <w:snapToGrid w:val="0"/>
                <w:spacing w:val="0"/>
                <w:sz w:val="20"/>
                <w:szCs w:val="26"/>
                <w:rtl/>
              </w:rPr>
              <w:t xml:space="preserve"> שהם</w:t>
            </w:r>
            <w:r w:rsidRPr="00C84526">
              <w:rPr>
                <w:rFonts w:ascii="Arial" w:eastAsia="Arial Unicode MS" w:hAnsi="Arial" w:cs="David" w:hint="cs"/>
                <w:snapToGrid w:val="0"/>
                <w:spacing w:val="0"/>
                <w:sz w:val="20"/>
                <w:szCs w:val="26"/>
                <w:rtl/>
              </w:rPr>
              <w:t xml:space="preserve"> </w:t>
            </w:r>
            <w:r>
              <w:rPr>
                <w:rFonts w:ascii="Arial" w:eastAsia="Arial Unicode MS" w:hAnsi="Arial" w:cs="David" w:hint="eastAsia"/>
                <w:snapToGrid w:val="0"/>
                <w:spacing w:val="0"/>
                <w:sz w:val="20"/>
                <w:szCs w:val="26"/>
                <w:rtl/>
              </w:rPr>
              <w:t>–</w:t>
            </w:r>
            <w:r w:rsidRPr="00C84526">
              <w:rPr>
                <w:rFonts w:ascii="Arial" w:eastAsia="Arial Unicode MS" w:hAnsi="Arial" w:cs="David" w:hint="cs"/>
                <w:snapToGrid w:val="0"/>
                <w:spacing w:val="0"/>
                <w:sz w:val="20"/>
                <w:szCs w:val="26"/>
                <w:rtl/>
              </w:rPr>
              <w:t xml:space="preserve"> </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5898"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גן לאומי או שמורת טבע, אלא אם </w:t>
            </w:r>
            <w:r>
              <w:rPr>
                <w:rFonts w:ascii="Arial" w:eastAsia="Arial Unicode MS" w:hAnsi="Arial" w:cs="David" w:hint="cs"/>
                <w:snapToGrid w:val="0"/>
                <w:spacing w:val="0"/>
                <w:sz w:val="20"/>
                <w:szCs w:val="26"/>
                <w:rtl/>
              </w:rPr>
              <w:t xml:space="preserve">כן </w:t>
            </w:r>
            <w:r w:rsidRPr="00C84526">
              <w:rPr>
                <w:rFonts w:ascii="Arial" w:eastAsia="Arial Unicode MS" w:hAnsi="Arial" w:cs="David" w:hint="cs"/>
                <w:snapToGrid w:val="0"/>
                <w:spacing w:val="0"/>
                <w:sz w:val="20"/>
                <w:szCs w:val="26"/>
                <w:rtl/>
              </w:rPr>
              <w:t xml:space="preserve">הציג מבקש  ההיתר את אישור המנהל כמשמעותו בסעיף 19 לחוק גנים לאומיים, שמורות טבע, אתרים לאומיים ואתרי הנצחה, </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תשנ"ח</w:t>
            </w:r>
            <w:r>
              <w:rPr>
                <w:rFonts w:ascii="Arial" w:eastAsia="Arial Unicode MS" w:hAnsi="Arial" w:cs="David" w:hint="eastAsia"/>
                <w:snapToGrid w:val="0"/>
                <w:spacing w:val="0"/>
                <w:sz w:val="20"/>
                <w:szCs w:val="26"/>
                <w:rtl/>
              </w:rPr>
              <w:t>–</w:t>
            </w:r>
            <w:r w:rsidRPr="00C84526">
              <w:rPr>
                <w:rFonts w:ascii="Arial" w:eastAsia="Arial Unicode MS" w:hAnsi="Arial" w:cs="David" w:hint="cs"/>
                <w:snapToGrid w:val="0"/>
                <w:spacing w:val="0"/>
                <w:sz w:val="20"/>
                <w:szCs w:val="26"/>
                <w:rtl/>
              </w:rPr>
              <w:t>1998</w:t>
            </w:r>
            <w:r>
              <w:rPr>
                <w:rStyle w:val="a6"/>
                <w:rFonts w:ascii="Arial" w:eastAsia="Arial Unicode MS" w:hAnsi="Arial" w:cs="David"/>
                <w:snapToGrid w:val="0"/>
                <w:spacing w:val="0"/>
                <w:sz w:val="20"/>
                <w:szCs w:val="26"/>
                <w:rtl/>
              </w:rPr>
              <w:footnoteReference w:id="5"/>
            </w:r>
            <w:r w:rsidRPr="00C84526">
              <w:rPr>
                <w:rFonts w:ascii="Arial" w:eastAsia="Arial Unicode MS" w:hAnsi="Arial" w:cs="David" w:hint="cs"/>
                <w:snapToGrid w:val="0"/>
                <w:spacing w:val="0"/>
                <w:sz w:val="20"/>
                <w:szCs w:val="26"/>
                <w:rtl/>
              </w:rPr>
              <w:t>, או מי שהוא הסמיך לעניין זה;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5898"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מקרקעין בניהול הקרן הקיימת לישראל, אלא אם</w:t>
            </w:r>
            <w:r>
              <w:rPr>
                <w:rFonts w:ascii="Arial" w:eastAsia="Arial Unicode MS" w:hAnsi="Arial" w:cs="David" w:hint="cs"/>
                <w:snapToGrid w:val="0"/>
                <w:spacing w:val="0"/>
                <w:sz w:val="20"/>
                <w:szCs w:val="26"/>
                <w:rtl/>
              </w:rPr>
              <w:t xml:space="preserve"> כן</w:t>
            </w:r>
            <w:r w:rsidRPr="00C84526">
              <w:rPr>
                <w:rFonts w:ascii="Arial" w:eastAsia="Arial Unicode MS" w:hAnsi="Arial" w:cs="David" w:hint="cs"/>
                <w:snapToGrid w:val="0"/>
                <w:spacing w:val="0"/>
                <w:sz w:val="20"/>
                <w:szCs w:val="26"/>
                <w:rtl/>
              </w:rPr>
              <w:t xml:space="preserve"> הציג מבקש ההיתר את אישור מנהל הקרן הקיימת לישראל או מי שהוא הסמיך לעניין זה;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5898"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(ג)</w:t>
            </w:r>
            <w:r w:rsidRPr="00C84526">
              <w:rPr>
                <w:rFonts w:ascii="Arial" w:eastAsia="Arial Unicode MS" w:hAnsi="Arial" w:cs="David" w:hint="cs"/>
                <w:snapToGrid w:val="0"/>
                <w:spacing w:val="0"/>
                <w:sz w:val="20"/>
                <w:szCs w:val="26"/>
                <w:rtl/>
              </w:rPr>
              <w:tab/>
              <w:t xml:space="preserve">שטח צבאי, אלא אם </w:t>
            </w:r>
            <w:r>
              <w:rPr>
                <w:rFonts w:ascii="Arial" w:eastAsia="Arial Unicode MS" w:hAnsi="Arial" w:cs="David" w:hint="cs"/>
                <w:snapToGrid w:val="0"/>
                <w:spacing w:val="0"/>
                <w:sz w:val="20"/>
                <w:szCs w:val="26"/>
                <w:rtl/>
              </w:rPr>
              <w:t xml:space="preserve">כן </w:t>
            </w:r>
            <w:r w:rsidRPr="00C84526">
              <w:rPr>
                <w:rFonts w:ascii="Arial" w:eastAsia="Arial Unicode MS" w:hAnsi="Arial" w:cs="David" w:hint="cs"/>
                <w:snapToGrid w:val="0"/>
                <w:spacing w:val="0"/>
                <w:sz w:val="20"/>
                <w:szCs w:val="26"/>
                <w:rtl/>
              </w:rPr>
              <w:t>הציג מבקש ההיתר את אישור שר הביטחון או מי שהוא הסמיך לעניין זה;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5898"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(ד)</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מקרקעי ציבור המוחזקים בידי מי שהורשה לכך על ידי רשות מקרקעי ישראל (להלן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מחזיק)</w:t>
            </w:r>
            <w:r>
              <w:rPr>
                <w:rFonts w:ascii="Arial" w:eastAsia="Arial Unicode MS" w:hAnsi="Arial" w:cs="David" w:hint="cs"/>
                <w:snapToGrid w:val="0"/>
                <w:spacing w:val="0"/>
                <w:sz w:val="20"/>
                <w:szCs w:val="26"/>
                <w:rtl/>
              </w:rPr>
              <w:t>,</w:t>
            </w:r>
            <w:r w:rsidRPr="00C84526">
              <w:rPr>
                <w:rFonts w:ascii="Arial" w:eastAsia="Arial Unicode MS" w:hAnsi="Arial" w:cs="David" w:hint="cs"/>
                <w:snapToGrid w:val="0"/>
                <w:spacing w:val="0"/>
                <w:sz w:val="20"/>
                <w:szCs w:val="26"/>
                <w:rtl/>
              </w:rPr>
              <w:t xml:space="preserve">אלא אם </w:t>
            </w:r>
            <w:r>
              <w:rPr>
                <w:rFonts w:ascii="Arial" w:eastAsia="Arial Unicode MS" w:hAnsi="Arial" w:cs="David" w:hint="cs"/>
                <w:snapToGrid w:val="0"/>
                <w:spacing w:val="0"/>
                <w:sz w:val="20"/>
                <w:szCs w:val="26"/>
                <w:rtl/>
              </w:rPr>
              <w:t xml:space="preserve">כן </w:t>
            </w:r>
            <w:r w:rsidRPr="00C84526">
              <w:rPr>
                <w:rFonts w:ascii="Arial" w:eastAsia="Arial Unicode MS" w:hAnsi="Arial" w:cs="David" w:hint="cs"/>
                <w:snapToGrid w:val="0"/>
                <w:spacing w:val="0"/>
                <w:sz w:val="20"/>
                <w:szCs w:val="26"/>
                <w:rtl/>
              </w:rPr>
              <w:t xml:space="preserve">הציג מבקש ההיתר את אישור המחזיק להצבת כוורות מאוכלסות בהם; ואולם, במקרקעי ציבור שניתן לגביהם היתר הצבה כדין בשנה הקודמת, רשאית ועדת ההיתרים לתת היתר להצבת כוורות מאוכלסות </w:t>
            </w:r>
            <w:r>
              <w:rPr>
                <w:rFonts w:ascii="Arial" w:eastAsia="Arial Unicode MS" w:hAnsi="Arial" w:cs="David" w:hint="cs"/>
                <w:snapToGrid w:val="0"/>
                <w:spacing w:val="0"/>
                <w:sz w:val="20"/>
                <w:szCs w:val="26"/>
                <w:rtl/>
              </w:rPr>
              <w:t>אף בלא</w:t>
            </w:r>
            <w:r w:rsidRPr="00C84526">
              <w:rPr>
                <w:rFonts w:ascii="Arial" w:eastAsia="Arial Unicode MS" w:hAnsi="Arial" w:cs="David" w:hint="cs"/>
                <w:snapToGrid w:val="0"/>
                <w:spacing w:val="0"/>
                <w:sz w:val="20"/>
                <w:szCs w:val="26"/>
                <w:rtl/>
              </w:rPr>
              <w:t xml:space="preserve"> אישורו של המחזיק ובלבד ש</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ודיע</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 xml:space="preserve"> לו על כך ואפשר</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 xml:space="preserve"> לו להגיש את התנגדותו להצבת הכוורות במקרקעין בתוך 60 ימים מיום מסירת ההודעה</w:t>
            </w:r>
            <w:r>
              <w:rPr>
                <w:rFonts w:ascii="Arial" w:eastAsia="Arial Unicode MS" w:hAnsi="Arial" w:cs="David" w:hint="cs"/>
                <w:snapToGrid w:val="0"/>
                <w:spacing w:val="0"/>
                <w:sz w:val="20"/>
                <w:szCs w:val="26"/>
                <w:rtl/>
              </w:rPr>
              <w:t>;</w:t>
            </w:r>
            <w:r w:rsidRPr="00C84526">
              <w:rPr>
                <w:rFonts w:ascii="Arial" w:eastAsia="Arial Unicode MS" w:hAnsi="Arial" w:cs="David" w:hint="cs"/>
                <w:snapToGrid w:val="0"/>
                <w:spacing w:val="0"/>
                <w:sz w:val="20"/>
                <w:szCs w:val="26"/>
                <w:rtl/>
              </w:rPr>
              <w:t xml:space="preserve"> ה</w:t>
            </w:r>
            <w:r>
              <w:rPr>
                <w:rFonts w:ascii="Arial" w:eastAsia="Arial Unicode MS" w:hAnsi="Arial" w:cs="David" w:hint="cs"/>
                <w:snapToGrid w:val="0"/>
                <w:spacing w:val="0"/>
                <w:sz w:val="20"/>
                <w:szCs w:val="26"/>
                <w:rtl/>
              </w:rPr>
              <w:t>ו</w:t>
            </w:r>
            <w:r w:rsidRPr="00C84526">
              <w:rPr>
                <w:rFonts w:ascii="Arial" w:eastAsia="Arial Unicode MS" w:hAnsi="Arial" w:cs="David" w:hint="cs"/>
                <w:snapToGrid w:val="0"/>
                <w:spacing w:val="0"/>
                <w:sz w:val="20"/>
                <w:szCs w:val="26"/>
                <w:rtl/>
              </w:rPr>
              <w:t>גש</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 xml:space="preserve"> התנגדות ל</w:t>
            </w:r>
            <w:r>
              <w:rPr>
                <w:rFonts w:ascii="Arial" w:eastAsia="Arial Unicode MS" w:hAnsi="Arial" w:cs="David" w:hint="cs"/>
                <w:snapToGrid w:val="0"/>
                <w:spacing w:val="0"/>
                <w:sz w:val="20"/>
                <w:szCs w:val="26"/>
                <w:rtl/>
              </w:rPr>
              <w:t>מתן היתר כאמור</w:t>
            </w:r>
            <w:r w:rsidRPr="00C84526">
              <w:rPr>
                <w:rFonts w:ascii="Arial" w:eastAsia="Arial Unicode MS" w:hAnsi="Arial" w:cs="David" w:hint="cs"/>
                <w:snapToGrid w:val="0"/>
                <w:spacing w:val="0"/>
                <w:sz w:val="20"/>
                <w:szCs w:val="26"/>
                <w:rtl/>
              </w:rPr>
              <w:t xml:space="preserve">, תשקול ועדת ההיתרים אם יש מקום לביטול היתר ההצבה, לפי סעיף </w:t>
            </w:r>
            <w:r>
              <w:rPr>
                <w:rFonts w:ascii="Arial" w:eastAsia="Arial Unicode MS" w:hAnsi="Arial" w:cs="David" w:hint="cs"/>
                <w:snapToGrid w:val="0"/>
                <w:spacing w:val="0"/>
                <w:sz w:val="20"/>
                <w:szCs w:val="26"/>
                <w:rtl/>
              </w:rPr>
              <w:t>7</w:t>
            </w:r>
            <w:r w:rsidRPr="00C84526">
              <w:rPr>
                <w:rFonts w:ascii="Arial" w:eastAsia="Arial Unicode MS" w:hAnsi="Arial" w:cs="David" w:hint="cs"/>
                <w:snapToGrid w:val="0"/>
                <w:spacing w:val="0"/>
                <w:sz w:val="20"/>
                <w:szCs w:val="26"/>
                <w:rtl/>
              </w:rPr>
              <w:t xml:space="preserve">, ותודיע </w:t>
            </w:r>
            <w:r>
              <w:rPr>
                <w:rFonts w:ascii="Arial" w:eastAsia="Arial Unicode MS" w:hAnsi="Arial" w:cs="David" w:hint="cs"/>
                <w:snapToGrid w:val="0"/>
                <w:spacing w:val="0"/>
                <w:sz w:val="20"/>
                <w:szCs w:val="26"/>
                <w:rtl/>
              </w:rPr>
              <w:t xml:space="preserve">על </w:t>
            </w:r>
            <w:r w:rsidRPr="00C84526">
              <w:rPr>
                <w:rFonts w:ascii="Arial" w:eastAsia="Arial Unicode MS" w:hAnsi="Arial" w:cs="David" w:hint="cs"/>
                <w:snapToGrid w:val="0"/>
                <w:spacing w:val="0"/>
                <w:sz w:val="20"/>
                <w:szCs w:val="26"/>
                <w:rtl/>
              </w:rPr>
              <w:t>החלטתה למקבל ההיתר ולמחזיק;</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5898"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(ה)</w:t>
            </w:r>
            <w:r>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מקרקעי ציבור שאינם </w:t>
            </w:r>
            <w:r>
              <w:rPr>
                <w:rFonts w:ascii="Arial" w:eastAsia="Arial Unicode MS" w:hAnsi="Arial" w:cs="David" w:hint="cs"/>
                <w:snapToGrid w:val="0"/>
                <w:spacing w:val="0"/>
                <w:sz w:val="20"/>
                <w:szCs w:val="26"/>
                <w:rtl/>
              </w:rPr>
              <w:t>מקרקעין כאמור בפסקאות משנה (א) עד (ד)</w:t>
            </w:r>
            <w:r w:rsidRPr="00C84526">
              <w:rPr>
                <w:rFonts w:ascii="Arial" w:eastAsia="Arial Unicode MS" w:hAnsi="Arial" w:cs="David" w:hint="cs"/>
                <w:snapToGrid w:val="0"/>
                <w:spacing w:val="0"/>
                <w:sz w:val="20"/>
                <w:szCs w:val="26"/>
                <w:rtl/>
              </w:rPr>
              <w:t>, אם הציג מבקש ההיתר את אישור רשות מקרקעי ישראל.</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(ב)</w:t>
            </w: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על אף האמור בסעיף קטן (א)(</w:t>
            </w:r>
            <w:r>
              <w:rPr>
                <w:rFonts w:ascii="Arial" w:eastAsia="Arial Unicode MS" w:hAnsi="Arial" w:cs="David" w:hint="cs"/>
                <w:snapToGrid w:val="0"/>
                <w:spacing w:val="0"/>
                <w:sz w:val="20"/>
                <w:szCs w:val="26"/>
                <w:rtl/>
              </w:rPr>
              <w:t>3</w:t>
            </w:r>
            <w:r w:rsidRPr="00C84526">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ד</w:t>
            </w:r>
            <w:r w:rsidRPr="00C84526">
              <w:rPr>
                <w:rFonts w:ascii="Arial" w:eastAsia="Arial Unicode MS" w:hAnsi="Arial" w:cs="David" w:hint="cs"/>
                <w:snapToGrid w:val="0"/>
                <w:spacing w:val="0"/>
                <w:sz w:val="20"/>
                <w:szCs w:val="26"/>
                <w:rtl/>
              </w:rPr>
              <w:t>), ועדת ההיתרים רשאית, במקרים חריגים ומטעמים מיוחדים שיירשמו, לתת היתר אף אם לא ניתן</w:t>
            </w:r>
            <w:r>
              <w:rPr>
                <w:rFonts w:ascii="Arial" w:eastAsia="Arial Unicode MS" w:hAnsi="Arial" w:cs="David" w:hint="cs"/>
                <w:snapToGrid w:val="0"/>
                <w:spacing w:val="0"/>
                <w:sz w:val="20"/>
                <w:szCs w:val="26"/>
                <w:rtl/>
              </w:rPr>
              <w:t xml:space="preserve"> לכך</w:t>
            </w:r>
            <w:r w:rsidRPr="00C84526">
              <w:rPr>
                <w:rFonts w:ascii="Arial" w:eastAsia="Arial Unicode MS" w:hAnsi="Arial" w:cs="David" w:hint="cs"/>
                <w:snapToGrid w:val="0"/>
                <w:spacing w:val="0"/>
                <w:sz w:val="20"/>
                <w:szCs w:val="26"/>
                <w:rtl/>
              </w:rPr>
              <w:t xml:space="preserve"> אישור </w:t>
            </w:r>
            <w:r>
              <w:rPr>
                <w:rFonts w:ascii="Arial" w:eastAsia="Arial Unicode MS" w:hAnsi="Arial" w:cs="David" w:hint="cs"/>
                <w:snapToGrid w:val="0"/>
                <w:spacing w:val="0"/>
                <w:sz w:val="20"/>
                <w:szCs w:val="26"/>
                <w:rtl/>
              </w:rPr>
              <w:t xml:space="preserve">של </w:t>
            </w:r>
            <w:r w:rsidRPr="00C84526">
              <w:rPr>
                <w:rFonts w:ascii="Arial" w:eastAsia="Arial Unicode MS" w:hAnsi="Arial" w:cs="David" w:hint="cs"/>
                <w:snapToGrid w:val="0"/>
                <w:spacing w:val="0"/>
                <w:sz w:val="20"/>
                <w:szCs w:val="26"/>
                <w:rtl/>
              </w:rPr>
              <w:t>המחזיק, אם מצאה כי הוא נמנע ממתן האישור משיקולים שאינם נוגעים לעניין, כי הוא מתנה את האישור בקבלת תמורה בכסף או בשווה כסף ממבקש ההיתר, או כי עניינו של המחזיק, בהתחשב בין היתר במשך התקופה בה הוא רשאי לעשות שימוש בקרקע, אינו גובר על עניינו של מבקש ההיתר;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ועדת ההיתרים </w:t>
            </w:r>
            <w:r>
              <w:rPr>
                <w:rFonts w:ascii="Arial" w:eastAsia="Arial Unicode MS" w:hAnsi="Arial" w:cs="David" w:hint="cs"/>
                <w:snapToGrid w:val="0"/>
                <w:spacing w:val="0"/>
                <w:sz w:val="20"/>
                <w:szCs w:val="26"/>
                <w:rtl/>
              </w:rPr>
              <w:t>תתייעץ</w:t>
            </w:r>
            <w:r w:rsidRPr="00C84526">
              <w:rPr>
                <w:rFonts w:ascii="Arial" w:eastAsia="Arial Unicode MS" w:hAnsi="Arial" w:cs="David" w:hint="cs"/>
                <w:snapToGrid w:val="0"/>
                <w:spacing w:val="0"/>
                <w:sz w:val="20"/>
                <w:szCs w:val="26"/>
                <w:rtl/>
              </w:rPr>
              <w:t xml:space="preserve"> עם רשות מקרקעי ישראל ותאפשר למחזיק להשמיע </w:t>
            </w:r>
            <w:r>
              <w:rPr>
                <w:rFonts w:ascii="Arial" w:eastAsia="Arial Unicode MS" w:hAnsi="Arial" w:cs="David" w:hint="cs"/>
                <w:snapToGrid w:val="0"/>
                <w:spacing w:val="0"/>
                <w:sz w:val="20"/>
                <w:szCs w:val="26"/>
                <w:rtl/>
              </w:rPr>
              <w:t xml:space="preserve">את </w:t>
            </w:r>
            <w:r w:rsidRPr="00C84526">
              <w:rPr>
                <w:rFonts w:ascii="Arial" w:eastAsia="Arial Unicode MS" w:hAnsi="Arial" w:cs="David" w:hint="cs"/>
                <w:snapToGrid w:val="0"/>
                <w:spacing w:val="0"/>
                <w:sz w:val="20"/>
                <w:szCs w:val="26"/>
                <w:rtl/>
              </w:rPr>
              <w:t>טענות</w:t>
            </w:r>
            <w:r>
              <w:rPr>
                <w:rFonts w:ascii="Arial" w:eastAsia="Arial Unicode MS" w:hAnsi="Arial" w:cs="David" w:hint="cs"/>
                <w:snapToGrid w:val="0"/>
                <w:spacing w:val="0"/>
                <w:sz w:val="20"/>
                <w:szCs w:val="26"/>
                <w:rtl/>
              </w:rPr>
              <w:t>יו</w:t>
            </w:r>
            <w:r w:rsidRPr="00C84526">
              <w:rPr>
                <w:rFonts w:ascii="Arial" w:eastAsia="Arial Unicode MS" w:hAnsi="Arial" w:cs="David" w:hint="cs"/>
                <w:snapToGrid w:val="0"/>
                <w:spacing w:val="0"/>
                <w:sz w:val="20"/>
                <w:szCs w:val="26"/>
                <w:rtl/>
              </w:rPr>
              <w:t xml:space="preserve"> בפניה, בטרם מתן היתר לפי סעיף קטן זה.</w:t>
            </w:r>
          </w:p>
        </w:tc>
      </w:tr>
      <w:tr w:rsidR="003604B2" w:rsidRPr="00C84526" w:rsidTr="00AB5ACE">
        <w:trPr>
          <w:cantSplit/>
          <w:trHeight w:val="60"/>
        </w:trPr>
        <w:tc>
          <w:tcPr>
            <w:tcW w:w="1871" w:type="dxa"/>
          </w:tcPr>
          <w:p w:rsidR="003604B2" w:rsidRPr="00C84526" w:rsidRDefault="003604B2" w:rsidP="001A7C31">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השעיה או ביטול של היתר</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10.</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הוועדה רשאית להשעות היתר או לבטלו, בכפוף להוראות שנקבעו לפי סעיף 25(1) או לפי בקשה של רשות מקרקעי ישראל, אם התקיים אחד מאלה -</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לא מתקיים תנאי מהתנאים למתן ההיתר לפי סעיף 9</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pStyle w:val="TableText"/>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(2)</w:t>
            </w:r>
            <w:r>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מקבל ההיתר הפר </w:t>
            </w:r>
            <w:r>
              <w:rPr>
                <w:rFonts w:ascii="Arial" w:eastAsia="Arial Unicode MS" w:hAnsi="Arial" w:cs="David" w:hint="cs"/>
                <w:snapToGrid w:val="0"/>
                <w:spacing w:val="0"/>
                <w:sz w:val="20"/>
                <w:szCs w:val="26"/>
                <w:rtl/>
              </w:rPr>
              <w:t>הוראה מה</w:t>
            </w:r>
            <w:r w:rsidRPr="00C84526">
              <w:rPr>
                <w:rFonts w:ascii="Arial" w:eastAsia="Arial Unicode MS" w:hAnsi="Arial" w:cs="David" w:hint="cs"/>
                <w:snapToGrid w:val="0"/>
                <w:spacing w:val="0"/>
                <w:sz w:val="20"/>
                <w:szCs w:val="26"/>
                <w:rtl/>
              </w:rPr>
              <w:t>הו</w:t>
            </w:r>
            <w:r>
              <w:rPr>
                <w:rFonts w:ascii="Arial" w:eastAsia="Arial Unicode MS" w:hAnsi="Arial" w:cs="David" w:hint="cs"/>
                <w:snapToGrid w:val="0"/>
                <w:spacing w:val="0"/>
                <w:sz w:val="20"/>
                <w:szCs w:val="26"/>
                <w:rtl/>
              </w:rPr>
              <w:t>ראות לפי חוק זה או תנאי מתנאי  ההיתר</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3</w:t>
            </w:r>
            <w:r w:rsidRPr="00C84526">
              <w:rPr>
                <w:rFonts w:ascii="Arial" w:eastAsia="Arial Unicode MS" w:hAnsi="Arial" w:cs="David" w:hint="cs"/>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התברר לוועדה שבשל השיקולים המנויים בסעיף </w:t>
            </w:r>
            <w:r>
              <w:rPr>
                <w:rFonts w:ascii="Arial" w:eastAsia="Arial Unicode MS" w:hAnsi="Arial" w:cs="David" w:hint="cs"/>
                <w:snapToGrid w:val="0"/>
                <w:spacing w:val="0"/>
                <w:sz w:val="20"/>
                <w:szCs w:val="26"/>
                <w:rtl/>
              </w:rPr>
              <w:t>6</w:t>
            </w:r>
            <w:r w:rsidRPr="00C84526">
              <w:rPr>
                <w:rFonts w:ascii="Arial" w:eastAsia="Arial Unicode MS" w:hAnsi="Arial" w:cs="David" w:hint="cs"/>
                <w:snapToGrid w:val="0"/>
                <w:spacing w:val="0"/>
                <w:sz w:val="20"/>
                <w:szCs w:val="26"/>
                <w:rtl/>
              </w:rPr>
              <w:t xml:space="preserve"> יש צורך בביטול ההיתר.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הוועדה לא תשעה או תבטל היתר אלא אם כן הודיעה על כך בכתב לבעל ההיתר 30 ימים לפחות לפני ההשעיה או הביטול, ונתנה לו הזדמנות להשמיע את טענותיו בפניה בכתב או בעל-פה.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(ג)</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בוטל היתר, יושב לבעליו הסכום שש</w:t>
            </w:r>
            <w:r>
              <w:rPr>
                <w:rFonts w:ascii="Arial" w:eastAsia="Arial Unicode MS" w:hAnsi="Arial" w:cs="David" w:hint="cs"/>
                <w:snapToGrid w:val="0"/>
                <w:spacing w:val="0"/>
                <w:sz w:val="20"/>
                <w:szCs w:val="26"/>
                <w:rtl/>
              </w:rPr>
              <w:t>י</w:t>
            </w:r>
            <w:r w:rsidRPr="00C84526">
              <w:rPr>
                <w:rFonts w:ascii="Arial" w:eastAsia="Arial Unicode MS" w:hAnsi="Arial" w:cs="David" w:hint="cs"/>
                <w:snapToGrid w:val="0"/>
                <w:spacing w:val="0"/>
                <w:sz w:val="20"/>
                <w:szCs w:val="26"/>
                <w:rtl/>
              </w:rPr>
              <w:t>לם עבורו.</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ועדת ערר</w:t>
            </w: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11.</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הרואה </w:t>
            </w:r>
            <w:r>
              <w:rPr>
                <w:rFonts w:ascii="Arial" w:eastAsia="Arial Unicode MS" w:hAnsi="Arial" w:cs="David" w:hint="cs"/>
                <w:snapToGrid w:val="0"/>
                <w:spacing w:val="0"/>
                <w:sz w:val="20"/>
                <w:szCs w:val="26"/>
                <w:rtl/>
              </w:rPr>
              <w:t xml:space="preserve">את </w:t>
            </w:r>
            <w:r w:rsidRPr="00C84526">
              <w:rPr>
                <w:rFonts w:ascii="Arial" w:eastAsia="Arial Unicode MS" w:hAnsi="Arial" w:cs="David" w:hint="cs"/>
                <w:snapToGrid w:val="0"/>
                <w:spacing w:val="0"/>
                <w:sz w:val="20"/>
                <w:szCs w:val="26"/>
                <w:rtl/>
              </w:rPr>
              <w:t>עצמו נפגע מהחלטה של ועדת ההיתרים רשאי לערור עליה לפני ועדת ערר בתוך 30 ימים מהיום שנמסרה לו ההחלטה</w:t>
            </w:r>
            <w:r>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ועדת הערר תהיה בת שלושה חברים, והם: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מי שכשיר להיות שופט של בית משפט שלום, שימנה שר המשפטים, והוא יהיה יושב ראש הוועדה;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עובד משרד החקלאות</w:t>
            </w:r>
            <w:r>
              <w:rPr>
                <w:rFonts w:ascii="Arial" w:eastAsia="Arial Unicode MS" w:hAnsi="Arial" w:cs="David" w:hint="cs"/>
                <w:snapToGrid w:val="0"/>
                <w:spacing w:val="0"/>
                <w:sz w:val="20"/>
                <w:szCs w:val="26"/>
                <w:rtl/>
              </w:rPr>
              <w:t xml:space="preserve"> ופיתוח הכפר</w:t>
            </w:r>
            <w:r w:rsidRPr="00C84526">
              <w:rPr>
                <w:rFonts w:ascii="Arial" w:eastAsia="Arial Unicode MS" w:hAnsi="Arial" w:cs="David" w:hint="cs"/>
                <w:snapToGrid w:val="0"/>
                <w:spacing w:val="0"/>
                <w:sz w:val="20"/>
                <w:szCs w:val="26"/>
                <w:rtl/>
              </w:rPr>
              <w:t xml:space="preserve"> שימנה שר החקלאות;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עובד משרד המשפטים שימנה שר המשפטים.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(ג)</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על ועדת הערר יחולו הוראות חוק בתי דין מינהליים, התשנ"ב</w:t>
            </w:r>
            <w:r>
              <w:rPr>
                <w:rFonts w:ascii="Arial" w:eastAsia="Arial Unicode MS" w:hAnsi="Arial" w:cs="David" w:hint="eastAsia"/>
                <w:snapToGrid w:val="0"/>
                <w:spacing w:val="0"/>
                <w:sz w:val="20"/>
                <w:szCs w:val="26"/>
                <w:rtl/>
              </w:rPr>
              <w:t>–</w:t>
            </w:r>
            <w:r w:rsidRPr="00C84526">
              <w:rPr>
                <w:rFonts w:ascii="Arial" w:eastAsia="Arial Unicode MS" w:hAnsi="Arial" w:cs="David" w:hint="cs"/>
                <w:snapToGrid w:val="0"/>
                <w:spacing w:val="0"/>
                <w:sz w:val="20"/>
                <w:szCs w:val="26"/>
                <w:rtl/>
              </w:rPr>
              <w:t>1992</w:t>
            </w:r>
            <w:r>
              <w:rPr>
                <w:rStyle w:val="a6"/>
                <w:rFonts w:ascii="Arial" w:eastAsia="Arial Unicode MS" w:hAnsi="Arial" w:cs="David"/>
                <w:snapToGrid w:val="0"/>
                <w:spacing w:val="0"/>
                <w:sz w:val="20"/>
                <w:szCs w:val="26"/>
                <w:rtl/>
              </w:rPr>
              <w:footnoteReference w:id="6"/>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(ד)</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הודעה על מינוי ועדת הערר, הרכבה ומענה, תפורסם ברשומות.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(ה)</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החלטה סופית של ועדת הערר בערר לפי סעיף קטן (א) ניתנת</w:t>
            </w:r>
            <w:r w:rsidRPr="00C84526">
              <w:rPr>
                <w:rFonts w:ascii="Arial" w:eastAsia="Arial Unicode MS" w:hAnsi="Arial" w:cs="David" w:hint="cs"/>
                <w:snapToGrid w:val="0"/>
                <w:spacing w:val="0"/>
                <w:sz w:val="20"/>
                <w:szCs w:val="26"/>
                <w:rtl/>
              </w:rPr>
              <w:t xml:space="preserve"> לערע</w:t>
            </w:r>
            <w:r>
              <w:rPr>
                <w:rFonts w:ascii="Arial" w:eastAsia="Arial Unicode MS" w:hAnsi="Arial" w:cs="David" w:hint="cs"/>
                <w:snapToGrid w:val="0"/>
                <w:spacing w:val="0"/>
                <w:sz w:val="20"/>
                <w:szCs w:val="26"/>
                <w:rtl/>
              </w:rPr>
              <w:t>ו</w:t>
            </w:r>
            <w:r w:rsidRPr="00C84526">
              <w:rPr>
                <w:rFonts w:ascii="Arial" w:eastAsia="Arial Unicode MS" w:hAnsi="Arial" w:cs="David" w:hint="cs"/>
                <w:snapToGrid w:val="0"/>
                <w:spacing w:val="0"/>
                <w:sz w:val="20"/>
                <w:szCs w:val="26"/>
                <w:rtl/>
              </w:rPr>
              <w:t>ר ל</w:t>
            </w:r>
            <w:r>
              <w:rPr>
                <w:rFonts w:ascii="Arial" w:eastAsia="Arial Unicode MS" w:hAnsi="Arial" w:cs="David" w:hint="cs"/>
                <w:snapToGrid w:val="0"/>
                <w:spacing w:val="0"/>
                <w:sz w:val="20"/>
                <w:szCs w:val="26"/>
                <w:rtl/>
              </w:rPr>
              <w:t xml:space="preserve">פני </w:t>
            </w:r>
            <w:r w:rsidRPr="00C84526">
              <w:rPr>
                <w:rFonts w:ascii="Arial" w:eastAsia="Arial Unicode MS" w:hAnsi="Arial" w:cs="David" w:hint="cs"/>
                <w:snapToGrid w:val="0"/>
                <w:spacing w:val="0"/>
                <w:sz w:val="20"/>
                <w:szCs w:val="26"/>
                <w:rtl/>
              </w:rPr>
              <w:t>בית המשפט לעניינים מינהליים.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 xml:space="preserve">סימון כוורות </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12.</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אדם שקיבל היתר ל</w:t>
            </w:r>
            <w:r>
              <w:rPr>
                <w:rFonts w:ascii="Arial" w:eastAsia="Arial Unicode MS" w:hAnsi="Arial" w:cs="David" w:hint="cs"/>
                <w:snapToGrid w:val="0"/>
                <w:spacing w:val="0"/>
                <w:sz w:val="20"/>
                <w:szCs w:val="26"/>
                <w:rtl/>
              </w:rPr>
              <w:t>א יציב</w:t>
            </w:r>
            <w:r w:rsidRPr="00C84526">
              <w:rPr>
                <w:rFonts w:ascii="Arial" w:eastAsia="Arial Unicode MS" w:hAnsi="Arial" w:cs="David" w:hint="cs"/>
                <w:snapToGrid w:val="0"/>
                <w:spacing w:val="0"/>
                <w:sz w:val="20"/>
                <w:szCs w:val="26"/>
                <w:rtl/>
              </w:rPr>
              <w:t xml:space="preserve"> כוורות מאוכלסות</w:t>
            </w:r>
            <w:r>
              <w:rPr>
                <w:rFonts w:ascii="Arial" w:eastAsia="Arial Unicode MS" w:hAnsi="Arial" w:cs="David" w:hint="cs"/>
                <w:snapToGrid w:val="0"/>
                <w:spacing w:val="0"/>
                <w:sz w:val="20"/>
                <w:szCs w:val="26"/>
                <w:rtl/>
              </w:rPr>
              <w:t xml:space="preserve"> אלא אם כן הן</w:t>
            </w:r>
            <w:r w:rsidRPr="00C84526">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מסומנות</w:t>
            </w:r>
            <w:r w:rsidRPr="00C84526">
              <w:rPr>
                <w:rFonts w:ascii="Arial" w:eastAsia="Arial Unicode MS" w:hAnsi="Arial" w:cs="David" w:hint="cs"/>
                <w:snapToGrid w:val="0"/>
                <w:spacing w:val="0"/>
                <w:sz w:val="20"/>
                <w:szCs w:val="26"/>
                <w:rtl/>
              </w:rPr>
              <w:t xml:space="preserve"> במספר הרישום המופיע בהיתר, בספרות גדולות וברורות הניתנות לקריאה בקלות.</w:t>
            </w:r>
          </w:p>
        </w:tc>
      </w:tr>
      <w:tr w:rsidR="003604B2" w:rsidRPr="00C84526" w:rsidTr="00AB5ACE">
        <w:trPr>
          <w:cantSplit/>
          <w:trHeight w:val="60"/>
        </w:trPr>
        <w:tc>
          <w:tcPr>
            <w:tcW w:w="1871" w:type="dxa"/>
          </w:tcPr>
          <w:p w:rsidR="003604B2" w:rsidRPr="00C84526" w:rsidRDefault="003604B2" w:rsidP="001A7C3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טיפול בפניות ציבור</w:t>
            </w: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13.</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ועדת היתרים תמנה אדם מטעמה, מקרב עובדי משרד החקלאות</w:t>
            </w:r>
            <w:r>
              <w:rPr>
                <w:rFonts w:ascii="Arial" w:eastAsia="Arial Unicode MS" w:hAnsi="Arial" w:cs="David" w:hint="cs"/>
                <w:snapToGrid w:val="0"/>
                <w:spacing w:val="0"/>
                <w:sz w:val="20"/>
                <w:szCs w:val="26"/>
                <w:rtl/>
              </w:rPr>
              <w:t xml:space="preserve"> ופיתוח הכפר</w:t>
            </w:r>
            <w:r w:rsidRPr="00C84526">
              <w:rPr>
                <w:rFonts w:ascii="Arial" w:eastAsia="Arial Unicode MS" w:hAnsi="Arial" w:cs="David" w:hint="cs"/>
                <w:snapToGrid w:val="0"/>
                <w:spacing w:val="0"/>
                <w:sz w:val="20"/>
                <w:szCs w:val="26"/>
                <w:rtl/>
              </w:rPr>
              <w:t>, כאחראי ל</w:t>
            </w:r>
            <w:r>
              <w:rPr>
                <w:rFonts w:ascii="Arial" w:eastAsia="Arial Unicode MS" w:hAnsi="Arial" w:cs="David" w:hint="cs"/>
                <w:snapToGrid w:val="0"/>
                <w:spacing w:val="0"/>
                <w:sz w:val="20"/>
                <w:szCs w:val="26"/>
                <w:rtl/>
              </w:rPr>
              <w:t>קבלת</w:t>
            </w:r>
            <w:r w:rsidRPr="00C84526">
              <w:rPr>
                <w:rFonts w:ascii="Arial" w:eastAsia="Arial Unicode MS" w:hAnsi="Arial" w:cs="David" w:hint="cs"/>
                <w:snapToGrid w:val="0"/>
                <w:spacing w:val="0"/>
                <w:sz w:val="20"/>
                <w:szCs w:val="26"/>
                <w:rtl/>
              </w:rPr>
              <w:t xml:space="preserve"> פניות ציבור לעניין הקצאת היתרים והפרת הוראות לפי חוק זה; פרטי האדם שמונה כאמור, הכוללים את שמו, מען משרדו ופרטי ההתקשרות עמו, יפורסמו באתר האינטרנט של המשרד.</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jc w:val="center"/>
              <w:rPr>
                <w:rFonts w:ascii="Arial" w:eastAsia="Arial Unicode MS" w:hAnsi="Arial" w:cs="David"/>
                <w:b/>
                <w:bCs/>
                <w:snapToGrid w:val="0"/>
                <w:spacing w:val="0"/>
                <w:sz w:val="20"/>
                <w:szCs w:val="26"/>
                <w:rtl/>
              </w:rPr>
            </w:pPr>
            <w:r w:rsidRPr="00C84526">
              <w:rPr>
                <w:rFonts w:ascii="Arial" w:eastAsia="Arial Unicode MS" w:hAnsi="Arial" w:cs="David" w:hint="cs"/>
                <w:b/>
                <w:bCs/>
                <w:snapToGrid w:val="0"/>
                <w:spacing w:val="0"/>
                <w:sz w:val="20"/>
                <w:szCs w:val="26"/>
                <w:rtl/>
              </w:rPr>
              <w:t>פרק ד': רעיית דבורים במקרקעין שאינם מקרקעי ציבור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הצבת כוורות מאוכלסות במקרקעין שאינם מקרקעי ציבור</w:t>
            </w: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14.</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לא יציב אדם כוורות מאוכלסות במקרקעין שאינם מקרקעי ציבור ב</w:t>
            </w:r>
            <w:r>
              <w:rPr>
                <w:rFonts w:ascii="Arial" w:eastAsia="Arial Unicode MS" w:hAnsi="Arial" w:cs="David" w:hint="cs"/>
                <w:snapToGrid w:val="0"/>
                <w:spacing w:val="0"/>
                <w:sz w:val="20"/>
                <w:szCs w:val="26"/>
                <w:rtl/>
              </w:rPr>
              <w:t>אופן</w:t>
            </w:r>
            <w:r w:rsidRPr="00C84526">
              <w:rPr>
                <w:rFonts w:ascii="Arial" w:eastAsia="Arial Unicode MS" w:hAnsi="Arial" w:cs="David" w:hint="cs"/>
                <w:snapToGrid w:val="0"/>
                <w:spacing w:val="0"/>
                <w:sz w:val="20"/>
                <w:szCs w:val="26"/>
                <w:rtl/>
              </w:rPr>
              <w:t xml:space="preserve"> שבו יש לדבורים גישה ל</w:t>
            </w:r>
            <w:r>
              <w:rPr>
                <w:rFonts w:ascii="Arial" w:eastAsia="Arial Unicode MS" w:hAnsi="Arial" w:cs="David" w:hint="cs"/>
                <w:snapToGrid w:val="0"/>
                <w:spacing w:val="0"/>
                <w:sz w:val="20"/>
                <w:szCs w:val="26"/>
                <w:rtl/>
              </w:rPr>
              <w:t>אוויר</w:t>
            </w:r>
            <w:r w:rsidRPr="00C84526">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פתוח, אלא אם</w:t>
            </w:r>
            <w:r>
              <w:rPr>
                <w:rFonts w:ascii="Arial" w:eastAsia="Arial Unicode MS" w:hAnsi="Arial" w:cs="David" w:hint="cs"/>
                <w:snapToGrid w:val="0"/>
                <w:spacing w:val="0"/>
                <w:sz w:val="20"/>
                <w:szCs w:val="26"/>
                <w:rtl/>
              </w:rPr>
              <w:t xml:space="preserve"> כן</w:t>
            </w:r>
            <w:r w:rsidRPr="00C84526">
              <w:rPr>
                <w:rFonts w:ascii="Arial" w:eastAsia="Arial Unicode MS" w:hAnsi="Arial" w:cs="David" w:hint="cs"/>
                <w:snapToGrid w:val="0"/>
                <w:spacing w:val="0"/>
                <w:sz w:val="20"/>
                <w:szCs w:val="26"/>
                <w:rtl/>
              </w:rPr>
              <w:t xml:space="preserve"> רשם את כוורותיו בהתאם לאמור בחוק זה.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מרשם נקודות </w:t>
            </w:r>
            <w:r>
              <w:rPr>
                <w:rFonts w:ascii="Arial" w:eastAsia="Arial Unicode MS" w:hAnsi="Arial" w:cs="David" w:hint="cs"/>
                <w:snapToGrid w:val="0"/>
                <w:spacing w:val="0"/>
                <w:sz w:val="20"/>
                <w:szCs w:val="26"/>
                <w:rtl/>
              </w:rPr>
              <w:t>להצבת כוורות במקרקעין שאינם מקרקעי ציבור</w:t>
            </w: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15.</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המשרד</w:t>
            </w:r>
            <w:r w:rsidRPr="00C84526">
              <w:rPr>
                <w:rFonts w:ascii="Arial" w:eastAsia="Arial Unicode MS" w:hAnsi="Arial" w:cs="David" w:hint="cs"/>
                <w:snapToGrid w:val="0"/>
                <w:spacing w:val="0"/>
                <w:sz w:val="20"/>
                <w:szCs w:val="26"/>
                <w:rtl/>
              </w:rPr>
              <w:t xml:space="preserve"> ינהל מרשם של נקודות </w:t>
            </w:r>
            <w:r>
              <w:rPr>
                <w:rFonts w:ascii="Arial" w:eastAsia="Arial Unicode MS" w:hAnsi="Arial" w:cs="David" w:hint="cs"/>
                <w:snapToGrid w:val="0"/>
                <w:spacing w:val="0"/>
                <w:sz w:val="20"/>
                <w:szCs w:val="26"/>
                <w:rtl/>
              </w:rPr>
              <w:t>להצבת כוורות</w:t>
            </w:r>
            <w:r w:rsidRPr="00C84526">
              <w:rPr>
                <w:rFonts w:ascii="Arial" w:eastAsia="Arial Unicode MS" w:hAnsi="Arial" w:cs="David" w:hint="cs"/>
                <w:snapToGrid w:val="0"/>
                <w:spacing w:val="0"/>
                <w:sz w:val="20"/>
                <w:szCs w:val="26"/>
                <w:rtl/>
              </w:rPr>
              <w:t xml:space="preserve"> של דבורים במקרקעין שאינם מקרקעי ציבור.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פרטים </w:t>
            </w:r>
            <w:r>
              <w:rPr>
                <w:rFonts w:ascii="Arial" w:eastAsia="Arial Unicode MS" w:hAnsi="Arial" w:cs="David" w:hint="cs"/>
                <w:snapToGrid w:val="0"/>
                <w:spacing w:val="0"/>
                <w:sz w:val="20"/>
                <w:szCs w:val="26"/>
                <w:rtl/>
              </w:rPr>
              <w:t>ש</w:t>
            </w:r>
            <w:r w:rsidRPr="00C84526">
              <w:rPr>
                <w:rFonts w:ascii="Arial" w:eastAsia="Arial Unicode MS" w:hAnsi="Arial" w:cs="David" w:hint="cs"/>
                <w:snapToGrid w:val="0"/>
                <w:spacing w:val="0"/>
                <w:sz w:val="20"/>
                <w:szCs w:val="26"/>
                <w:rtl/>
              </w:rPr>
              <w:t>יפורטו במרשם</w:t>
            </w:r>
            <w:r>
              <w:rPr>
                <w:rFonts w:ascii="Arial" w:eastAsia="Arial Unicode MS" w:hAnsi="Arial" w:cs="David" w:hint="cs"/>
                <w:snapToGrid w:val="0"/>
                <w:spacing w:val="0"/>
                <w:sz w:val="20"/>
                <w:szCs w:val="26"/>
                <w:rtl/>
              </w:rPr>
              <w:t xml:space="preserve"> הם</w:t>
            </w:r>
            <w:r>
              <w:rPr>
                <w:rFonts w:ascii="Arial" w:eastAsia="Arial Unicode MS" w:hAnsi="Arial" w:cs="David"/>
                <w:snapToGrid w:val="0"/>
                <w:spacing w:val="0"/>
                <w:sz w:val="20"/>
                <w:szCs w:val="26"/>
                <w:rtl/>
              </w:rPr>
              <w:softHyphen/>
            </w:r>
            <w:r>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hint="cs"/>
                <w:snapToGrid w:val="0"/>
                <w:spacing w:val="0"/>
                <w:sz w:val="20"/>
                <w:szCs w:val="26"/>
                <w:rtl/>
              </w:rPr>
              <w:tab/>
              <w:t>נקודות הציון שבהן מוצבות כוורות מאוכלסות;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שמו המלא </w:t>
            </w:r>
            <w:r>
              <w:rPr>
                <w:rFonts w:ascii="Arial" w:eastAsia="Arial Unicode MS" w:hAnsi="Arial" w:cs="David" w:hint="cs"/>
                <w:snapToGrid w:val="0"/>
                <w:spacing w:val="0"/>
                <w:sz w:val="20"/>
                <w:szCs w:val="26"/>
                <w:rtl/>
              </w:rPr>
              <w:t>ו</w:t>
            </w:r>
            <w:r w:rsidRPr="00C84526">
              <w:rPr>
                <w:rFonts w:ascii="Arial" w:eastAsia="Arial Unicode MS" w:hAnsi="Arial" w:cs="David" w:hint="cs"/>
                <w:snapToGrid w:val="0"/>
                <w:spacing w:val="0"/>
                <w:sz w:val="20"/>
                <w:szCs w:val="26"/>
                <w:rtl/>
              </w:rPr>
              <w:t>מענו של בעל הכוורות</w:t>
            </w:r>
            <w:r>
              <w:rPr>
                <w:rFonts w:ascii="Arial" w:eastAsia="Arial Unicode MS" w:hAnsi="Arial" w:cs="David" w:hint="cs"/>
                <w:snapToGrid w:val="0"/>
                <w:spacing w:val="0"/>
                <w:sz w:val="20"/>
                <w:szCs w:val="26"/>
                <w:rtl/>
              </w:rPr>
              <w:t xml:space="preserve"> ופרטי ההתקשרות עמו</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מועד ההצבה</w:t>
            </w:r>
            <w:r>
              <w:rPr>
                <w:rFonts w:ascii="Arial" w:eastAsia="Arial Unicode MS" w:hAnsi="Arial" w:cs="David" w:hint="cs"/>
                <w:snapToGrid w:val="0"/>
                <w:spacing w:val="0"/>
                <w:sz w:val="20"/>
                <w:szCs w:val="26"/>
                <w:rtl/>
              </w:rPr>
              <w:t xml:space="preserve"> בכל נקודת ציון</w:t>
            </w:r>
            <w:r w:rsidRPr="00C84526">
              <w:rPr>
                <w:rFonts w:ascii="Arial" w:eastAsia="Arial Unicode MS" w:hAnsi="Arial" w:cs="David" w:hint="cs"/>
                <w:snapToGrid w:val="0"/>
                <w:spacing w:val="0"/>
                <w:sz w:val="20"/>
                <w:szCs w:val="26"/>
                <w:rtl/>
              </w:rPr>
              <w:t xml:space="preserve"> ותקופת ההצבה </w:t>
            </w:r>
            <w:r>
              <w:rPr>
                <w:rFonts w:ascii="Arial" w:eastAsia="Arial Unicode MS" w:hAnsi="Arial" w:cs="David" w:hint="cs"/>
                <w:snapToGrid w:val="0"/>
                <w:spacing w:val="0"/>
                <w:sz w:val="20"/>
                <w:szCs w:val="26"/>
                <w:rtl/>
              </w:rPr>
              <w:t>בה</w:t>
            </w:r>
            <w:r w:rsidRPr="00C84526">
              <w:rPr>
                <w:rFonts w:ascii="Arial" w:eastAsia="Arial Unicode MS" w:hAnsi="Arial" w:cs="David" w:hint="cs"/>
                <w:snapToGrid w:val="0"/>
                <w:spacing w:val="0"/>
                <w:sz w:val="20"/>
                <w:szCs w:val="26"/>
                <w:rtl/>
              </w:rPr>
              <w:t xml:space="preserve"> לפי ימים וחודשים בשנה;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(4)</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מספר הכוורות המאוכלסות המוצבות בכל אחת מנקודות הציון.</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(ג)</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המרשם על כל פרטיו, בצירוף מפה מפורטת, יפורסם לציבור באתר האינטרנט של </w:t>
            </w:r>
            <w:r>
              <w:rPr>
                <w:rFonts w:ascii="Arial" w:eastAsia="Arial Unicode MS" w:hAnsi="Arial" w:cs="David" w:hint="cs"/>
                <w:snapToGrid w:val="0"/>
                <w:spacing w:val="0"/>
                <w:sz w:val="20"/>
                <w:szCs w:val="26"/>
                <w:rtl/>
              </w:rPr>
              <w:t>המשרד.</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רישום במרשם</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16.</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רצה אדם להציב כוורות מאוכלסות במקרקעין שאינם מקרקעי ציבור, </w:t>
            </w:r>
            <w:r>
              <w:rPr>
                <w:rFonts w:ascii="Arial" w:eastAsia="Arial Unicode MS" w:hAnsi="Arial" w:cs="David" w:hint="cs"/>
                <w:snapToGrid w:val="0"/>
                <w:spacing w:val="0"/>
                <w:sz w:val="20"/>
                <w:szCs w:val="26"/>
                <w:rtl/>
              </w:rPr>
              <w:t>ימסור ל</w:t>
            </w:r>
            <w:r w:rsidRPr="00C84526">
              <w:rPr>
                <w:rFonts w:ascii="Arial" w:eastAsia="Arial Unicode MS" w:hAnsi="Arial" w:cs="David" w:hint="cs"/>
                <w:snapToGrid w:val="0"/>
                <w:spacing w:val="0"/>
                <w:sz w:val="20"/>
                <w:szCs w:val="26"/>
                <w:rtl/>
              </w:rPr>
              <w:t>מרשם</w:t>
            </w:r>
            <w:r>
              <w:rPr>
                <w:rFonts w:ascii="Arial" w:eastAsia="Arial Unicode MS" w:hAnsi="Arial" w:cs="David" w:hint="cs"/>
                <w:snapToGrid w:val="0"/>
                <w:spacing w:val="0"/>
                <w:sz w:val="20"/>
                <w:szCs w:val="26"/>
                <w:rtl/>
              </w:rPr>
              <w:t xml:space="preserve"> הודעה על כך לפחות</w:t>
            </w:r>
            <w:r w:rsidRPr="00C84526">
              <w:rPr>
                <w:rFonts w:ascii="Arial" w:eastAsia="Arial Unicode MS" w:hAnsi="Arial" w:cs="David" w:hint="cs"/>
                <w:snapToGrid w:val="0"/>
                <w:spacing w:val="0"/>
                <w:sz w:val="20"/>
                <w:szCs w:val="26"/>
                <w:rtl/>
              </w:rPr>
              <w:t xml:space="preserve"> שישים יום </w:t>
            </w:r>
            <w:r>
              <w:rPr>
                <w:rFonts w:ascii="Arial" w:eastAsia="Arial Unicode MS" w:hAnsi="Arial" w:cs="David" w:hint="cs"/>
                <w:snapToGrid w:val="0"/>
                <w:spacing w:val="0"/>
                <w:sz w:val="20"/>
                <w:szCs w:val="26"/>
                <w:rtl/>
              </w:rPr>
              <w:t>לפני</w:t>
            </w:r>
            <w:r w:rsidRPr="00C84526">
              <w:rPr>
                <w:rFonts w:ascii="Arial" w:eastAsia="Arial Unicode MS" w:hAnsi="Arial" w:cs="David" w:hint="cs"/>
                <w:snapToGrid w:val="0"/>
                <w:spacing w:val="0"/>
                <w:sz w:val="20"/>
                <w:szCs w:val="26"/>
                <w:rtl/>
              </w:rPr>
              <w:t xml:space="preserve"> ההצבה</w:t>
            </w:r>
            <w:r>
              <w:rPr>
                <w:rFonts w:ascii="Arial" w:eastAsia="Arial Unicode MS" w:hAnsi="Arial" w:cs="David" w:hint="cs"/>
                <w:snapToGrid w:val="0"/>
                <w:spacing w:val="0"/>
                <w:sz w:val="20"/>
                <w:szCs w:val="26"/>
                <w:rtl/>
              </w:rPr>
              <w:t>, ומנהל המרשם יפרסם ההודעה במרשם.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הפרסום יכלול את הפרטים </w:t>
            </w:r>
            <w:r>
              <w:rPr>
                <w:rFonts w:ascii="Arial" w:eastAsia="Arial Unicode MS" w:hAnsi="Arial" w:cs="David" w:hint="cs"/>
                <w:snapToGrid w:val="0"/>
                <w:spacing w:val="0"/>
                <w:sz w:val="20"/>
                <w:szCs w:val="26"/>
                <w:rtl/>
              </w:rPr>
              <w:t>כ</w:t>
            </w:r>
            <w:r w:rsidRPr="00C84526">
              <w:rPr>
                <w:rFonts w:ascii="Arial" w:eastAsia="Arial Unicode MS" w:hAnsi="Arial" w:cs="David" w:hint="cs"/>
                <w:snapToGrid w:val="0"/>
                <w:spacing w:val="0"/>
                <w:sz w:val="20"/>
                <w:szCs w:val="26"/>
                <w:rtl/>
              </w:rPr>
              <w:t xml:space="preserve">אמור בסעיף 15(ב), והוא </w:t>
            </w:r>
            <w:r>
              <w:rPr>
                <w:rFonts w:ascii="Arial" w:eastAsia="Arial Unicode MS" w:hAnsi="Arial" w:cs="David" w:hint="cs"/>
                <w:snapToGrid w:val="0"/>
                <w:spacing w:val="0"/>
                <w:sz w:val="20"/>
                <w:szCs w:val="26"/>
                <w:rtl/>
              </w:rPr>
              <w:t>י</w:t>
            </w:r>
            <w:r w:rsidRPr="00C84526">
              <w:rPr>
                <w:rFonts w:ascii="Arial" w:eastAsia="Arial Unicode MS" w:hAnsi="Arial" w:cs="David" w:hint="cs"/>
                <w:snapToGrid w:val="0"/>
                <w:spacing w:val="0"/>
                <w:sz w:val="20"/>
                <w:szCs w:val="26"/>
                <w:rtl/>
              </w:rPr>
              <w:t xml:space="preserve">יעשה באמצעות מילוי טופס מקוון באתר האינטרנט של </w:t>
            </w:r>
            <w:r>
              <w:rPr>
                <w:rFonts w:ascii="Arial" w:eastAsia="Arial Unicode MS" w:hAnsi="Arial" w:cs="David" w:hint="cs"/>
                <w:snapToGrid w:val="0"/>
                <w:spacing w:val="0"/>
                <w:sz w:val="20"/>
                <w:szCs w:val="26"/>
                <w:rtl/>
              </w:rPr>
              <w:t>המשרד</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(ג)</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המשרד</w:t>
            </w:r>
            <w:r w:rsidRPr="00C84526">
              <w:rPr>
                <w:rFonts w:ascii="Arial" w:eastAsia="Arial Unicode MS" w:hAnsi="Arial" w:cs="David" w:hint="cs"/>
                <w:snapToGrid w:val="0"/>
                <w:spacing w:val="0"/>
                <w:sz w:val="20"/>
                <w:szCs w:val="26"/>
                <w:rtl/>
              </w:rPr>
              <w:t xml:space="preserve"> יודיע על הפרסום לדבוראים הרשומים בנקודות הסמוכות.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סימון כוורות</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17.</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הציב אדם כוורות מאוכלסות במקרקעין שאינם מקרקעי ציבור, יסמנן במספר הרישום המופיע במרשם, בספרות גדולות וברורות הניתנות לקריאה בקלות.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שימוש בקרקע חקלאית</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18.</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snapToGrid w:val="0"/>
                <w:spacing w:val="0"/>
                <w:sz w:val="20"/>
                <w:szCs w:val="26"/>
                <w:rtl/>
              </w:rPr>
              <w:t xml:space="preserve">על אף האמור בחוק ההתיישבות החקלאית (סייגים לשימוש בקרקע חקלאית ובמים), </w:t>
            </w:r>
            <w:r>
              <w:rPr>
                <w:rFonts w:ascii="Arial" w:eastAsia="Arial Unicode MS" w:hAnsi="Arial" w:cs="David" w:hint="cs"/>
                <w:snapToGrid w:val="0"/>
                <w:spacing w:val="0"/>
                <w:sz w:val="20"/>
                <w:szCs w:val="26"/>
                <w:rtl/>
              </w:rPr>
              <w:t>ה</w:t>
            </w:r>
            <w:r w:rsidRPr="00C84526">
              <w:rPr>
                <w:rFonts w:ascii="Arial" w:eastAsia="Arial Unicode MS" w:hAnsi="Arial" w:cs="David"/>
                <w:snapToGrid w:val="0"/>
                <w:spacing w:val="0"/>
                <w:sz w:val="20"/>
                <w:szCs w:val="26"/>
                <w:rtl/>
              </w:rPr>
              <w:t>תשכ"ז</w:t>
            </w:r>
            <w:r>
              <w:rPr>
                <w:rFonts w:ascii="Arial" w:eastAsia="Arial Unicode MS" w:hAnsi="Arial" w:cs="David" w:hint="eastAsia"/>
                <w:snapToGrid w:val="0"/>
                <w:spacing w:val="0"/>
                <w:sz w:val="20"/>
                <w:szCs w:val="26"/>
                <w:rtl/>
              </w:rPr>
              <w:t>–1967</w:t>
            </w:r>
            <w:r>
              <w:rPr>
                <w:rStyle w:val="a6"/>
                <w:rFonts w:ascii="Arial" w:eastAsia="Arial Unicode MS" w:hAnsi="Arial" w:cs="David"/>
                <w:snapToGrid w:val="0"/>
                <w:spacing w:val="0"/>
                <w:sz w:val="20"/>
                <w:szCs w:val="26"/>
                <w:rtl/>
              </w:rPr>
              <w:footnoteReference w:id="7"/>
            </w:r>
            <w:r w:rsidRPr="00C84526">
              <w:rPr>
                <w:rFonts w:ascii="Arial" w:eastAsia="Arial Unicode MS" w:hAnsi="Arial" w:cs="David"/>
                <w:snapToGrid w:val="0"/>
                <w:spacing w:val="0"/>
                <w:sz w:val="20"/>
                <w:szCs w:val="26"/>
                <w:rtl/>
              </w:rPr>
              <w:t xml:space="preserve"> (להלן</w:t>
            </w:r>
            <w:r>
              <w:rPr>
                <w:rFonts w:ascii="Arial" w:eastAsia="Arial Unicode MS" w:hAnsi="Arial" w:cs="David" w:hint="cs"/>
                <w:snapToGrid w:val="0"/>
                <w:spacing w:val="0"/>
                <w:sz w:val="20"/>
                <w:szCs w:val="26"/>
                <w:rtl/>
              </w:rPr>
              <w:t xml:space="preserve"> </w:t>
            </w:r>
            <w:r>
              <w:rPr>
                <w:rFonts w:ascii="Arial" w:eastAsia="Arial Unicode MS" w:hAnsi="Arial" w:cs="David" w:hint="eastAsia"/>
                <w:snapToGrid w:val="0"/>
                <w:spacing w:val="0"/>
                <w:sz w:val="20"/>
                <w:szCs w:val="26"/>
                <w:rtl/>
              </w:rPr>
              <w:t xml:space="preserve">– </w:t>
            </w:r>
            <w:r w:rsidRPr="00C84526">
              <w:rPr>
                <w:rFonts w:ascii="Arial" w:eastAsia="Arial Unicode MS" w:hAnsi="Arial" w:cs="David"/>
                <w:snapToGrid w:val="0"/>
                <w:spacing w:val="0"/>
                <w:sz w:val="20"/>
                <w:szCs w:val="26"/>
                <w:rtl/>
              </w:rPr>
              <w:t xml:space="preserve">חוק ההתיישבות) הצבת כוורות מאוכלסות בקרקע חקלאית </w:t>
            </w:r>
            <w:r>
              <w:rPr>
                <w:rFonts w:ascii="Arial" w:eastAsia="Arial Unicode MS" w:hAnsi="Arial" w:cs="David" w:hint="cs"/>
                <w:snapToGrid w:val="0"/>
                <w:spacing w:val="0"/>
                <w:sz w:val="20"/>
                <w:szCs w:val="26"/>
                <w:rtl/>
              </w:rPr>
              <w:t xml:space="preserve">לפי </w:t>
            </w:r>
            <w:r w:rsidRPr="00C84526">
              <w:rPr>
                <w:rFonts w:ascii="Arial" w:eastAsia="Arial Unicode MS" w:hAnsi="Arial" w:cs="David"/>
                <w:snapToGrid w:val="0"/>
                <w:spacing w:val="0"/>
                <w:sz w:val="20"/>
                <w:szCs w:val="26"/>
                <w:rtl/>
              </w:rPr>
              <w:t xml:space="preserve">היתר </w:t>
            </w:r>
            <w:r>
              <w:rPr>
                <w:rFonts w:ascii="Arial" w:eastAsia="Arial Unicode MS" w:hAnsi="Arial" w:cs="David" w:hint="cs"/>
                <w:snapToGrid w:val="0"/>
                <w:spacing w:val="0"/>
                <w:sz w:val="20"/>
                <w:szCs w:val="26"/>
                <w:rtl/>
              </w:rPr>
              <w:t>שניתן בהתאם ל</w:t>
            </w:r>
            <w:r w:rsidRPr="00C84526">
              <w:rPr>
                <w:rFonts w:ascii="Arial" w:eastAsia="Arial Unicode MS" w:hAnsi="Arial" w:cs="David"/>
                <w:snapToGrid w:val="0"/>
                <w:spacing w:val="0"/>
                <w:sz w:val="20"/>
                <w:szCs w:val="26"/>
                <w:rtl/>
              </w:rPr>
              <w:t>חוק זה, אינה שימוש חורג</w:t>
            </w:r>
            <w:r w:rsidRPr="00C84526">
              <w:rPr>
                <w:rFonts w:ascii="Arial" w:eastAsia="Arial Unicode MS" w:hAnsi="Arial" w:cs="David" w:hint="cs"/>
                <w:snapToGrid w:val="0"/>
                <w:spacing w:val="0"/>
                <w:sz w:val="20"/>
                <w:szCs w:val="26"/>
                <w:rtl/>
              </w:rPr>
              <w:t xml:space="preserve">; </w:t>
            </w:r>
            <w:r w:rsidRPr="00C84526">
              <w:rPr>
                <w:rFonts w:ascii="Arial" w:eastAsia="Arial Unicode MS" w:hAnsi="Arial" w:cs="David"/>
                <w:snapToGrid w:val="0"/>
                <w:spacing w:val="0"/>
                <w:sz w:val="20"/>
                <w:szCs w:val="26"/>
                <w:rtl/>
              </w:rPr>
              <w:t>בסעיף זה "קרקע חקלאית" ו"שימוש חורג" – כמשמעותם בחוק ההתיישבות</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jc w:val="center"/>
              <w:rPr>
                <w:rFonts w:ascii="Arial" w:eastAsia="Arial Unicode MS" w:hAnsi="Arial" w:cs="David"/>
                <w:b/>
                <w:bCs/>
                <w:snapToGrid w:val="0"/>
                <w:spacing w:val="0"/>
                <w:sz w:val="20"/>
                <w:szCs w:val="26"/>
                <w:rtl/>
              </w:rPr>
            </w:pPr>
            <w:r w:rsidRPr="00C84526">
              <w:rPr>
                <w:rFonts w:ascii="Arial" w:eastAsia="Arial Unicode MS" w:hAnsi="Arial" w:cs="David" w:hint="cs"/>
                <w:b/>
                <w:bCs/>
                <w:snapToGrid w:val="0"/>
                <w:spacing w:val="0"/>
                <w:sz w:val="20"/>
                <w:szCs w:val="26"/>
                <w:rtl/>
              </w:rPr>
              <w:t>פרק ה': ייצור דבש</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איסור הזנת דבורים בסוכר</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19.</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לא יזין אדם דבורים בסוכר לסוגיו או במרכיבי סוכר לסוגיו,</w:t>
            </w:r>
            <w:r>
              <w:rPr>
                <w:rFonts w:ascii="Arial" w:eastAsia="Arial Unicode MS" w:hAnsi="Arial" w:cs="David" w:hint="cs"/>
                <w:snapToGrid w:val="0"/>
                <w:spacing w:val="0"/>
                <w:sz w:val="20"/>
                <w:szCs w:val="26"/>
                <w:rtl/>
              </w:rPr>
              <w:t xml:space="preserve"> בכוורת או בסמוך לכוורת,</w:t>
            </w:r>
            <w:r w:rsidRPr="00C84526">
              <w:rPr>
                <w:rFonts w:ascii="Arial" w:eastAsia="Arial Unicode MS" w:hAnsi="Arial" w:cs="David" w:hint="cs"/>
                <w:snapToGrid w:val="0"/>
                <w:spacing w:val="0"/>
                <w:sz w:val="20"/>
                <w:szCs w:val="26"/>
                <w:rtl/>
              </w:rPr>
              <w:t xml:space="preserve"> אלא בהתאם להוראות לפי סעיף 25(6).</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איסור הוספת חומרים לדבש לפני רדייה</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20.</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 xml:space="preserve">לא יוסיף אדם חומר כלשהוא לדבש לפני רדייתו או במהלכה, למעט לצורך ייצור כדין של מוצרי דבש בהתאם לתקן לדבש שנקבע לפי סעיף 6 לחוק התקנים, </w:t>
            </w:r>
            <w:r>
              <w:rPr>
                <w:rFonts w:ascii="Arial" w:eastAsia="Arial Unicode MS" w:hAnsi="Arial" w:cs="David" w:hint="cs"/>
                <w:snapToGrid w:val="0"/>
                <w:spacing w:val="0"/>
                <w:sz w:val="20"/>
                <w:szCs w:val="26"/>
                <w:rtl/>
              </w:rPr>
              <w:t>התשי"ג</w:t>
            </w:r>
            <w:r>
              <w:rPr>
                <w:rFonts w:ascii="Arial" w:eastAsia="Arial Unicode MS" w:hAnsi="Arial" w:cs="David" w:hint="eastAsia"/>
                <w:snapToGrid w:val="0"/>
                <w:spacing w:val="0"/>
                <w:sz w:val="20"/>
                <w:szCs w:val="26"/>
                <w:rtl/>
              </w:rPr>
              <w:t>–1953</w:t>
            </w:r>
            <w:r>
              <w:rPr>
                <w:rStyle w:val="a6"/>
                <w:rFonts w:ascii="Arial" w:eastAsia="Arial Unicode MS" w:hAnsi="Arial" w:cs="David"/>
                <w:snapToGrid w:val="0"/>
                <w:spacing w:val="0"/>
                <w:sz w:val="20"/>
                <w:szCs w:val="26"/>
                <w:rtl/>
              </w:rPr>
              <w:footnoteReference w:id="8"/>
            </w:r>
            <w:r>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jc w:val="center"/>
              <w:rPr>
                <w:rFonts w:ascii="Arial" w:eastAsia="Arial Unicode MS" w:hAnsi="Arial" w:cs="David"/>
                <w:b/>
                <w:bCs/>
                <w:snapToGrid w:val="0"/>
                <w:spacing w:val="0"/>
                <w:sz w:val="20"/>
                <w:szCs w:val="26"/>
                <w:rtl/>
              </w:rPr>
            </w:pPr>
            <w:r w:rsidRPr="00C84526">
              <w:rPr>
                <w:rFonts w:ascii="Arial" w:eastAsia="Arial Unicode MS" w:hAnsi="Arial" w:cs="David" w:hint="cs"/>
                <w:b/>
                <w:bCs/>
                <w:snapToGrid w:val="0"/>
                <w:spacing w:val="0"/>
                <w:sz w:val="20"/>
                <w:szCs w:val="26"/>
                <w:rtl/>
              </w:rPr>
              <w:t>פרק ו': מינוי מפקחים וסמכויות פיקוח ואכיפה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הסמכת מפקחים</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21.</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השר רשאי להסמיך, מבין עובדי המדינה, מפקחים לעניי</w:t>
            </w:r>
            <w:r w:rsidRPr="00C84526">
              <w:rPr>
                <w:rFonts w:ascii="Arial" w:eastAsia="Arial Unicode MS" w:hAnsi="Arial" w:cs="David" w:hint="eastAsia"/>
                <w:snapToGrid w:val="0"/>
                <w:spacing w:val="0"/>
                <w:sz w:val="20"/>
                <w:szCs w:val="26"/>
                <w:rtl/>
              </w:rPr>
              <w:t>ן</w:t>
            </w:r>
            <w:r w:rsidRPr="00C84526">
              <w:rPr>
                <w:rFonts w:ascii="Arial" w:eastAsia="Arial Unicode MS" w:hAnsi="Arial" w:cs="David" w:hint="cs"/>
                <w:snapToGrid w:val="0"/>
                <w:spacing w:val="0"/>
                <w:sz w:val="20"/>
                <w:szCs w:val="26"/>
                <w:rtl/>
              </w:rPr>
              <w:t xml:space="preserve"> חוק זה, ובלבד שלא יוסמך מפקח, אלא אם כן התקיימו בו כל אלה: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משטרת ישראל הודיעה, לא יאוחר משלושה חודשים </w:t>
            </w:r>
            <w:r>
              <w:rPr>
                <w:rFonts w:ascii="Arial" w:eastAsia="Arial Unicode MS" w:hAnsi="Arial" w:cs="David" w:hint="cs"/>
                <w:snapToGrid w:val="0"/>
                <w:spacing w:val="0"/>
                <w:sz w:val="20"/>
                <w:szCs w:val="26"/>
                <w:rtl/>
              </w:rPr>
              <w:t>מיום קבלת פרטי העובד</w:t>
            </w:r>
            <w:r w:rsidRPr="00C84526">
              <w:rPr>
                <w:rFonts w:ascii="Arial" w:eastAsia="Arial Unicode MS" w:hAnsi="Arial" w:cs="David" w:hint="cs"/>
                <w:snapToGrid w:val="0"/>
                <w:spacing w:val="0"/>
                <w:sz w:val="20"/>
                <w:szCs w:val="26"/>
                <w:rtl/>
              </w:rPr>
              <w:t>, כי היא אינה מתנגדת להסמכתו מטעמים של ביטחון הציבור, לרבות בשל עברו הפלילי;</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הוא קיבל הכשרה מתאימה בתחום הסמכויות שיהיו נתונות לו לפי חוק זה, כפי שהורה השר בהסכמת השר לביטחון הפנים;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הוא עומד בתנאי כשירות נוספים </w:t>
            </w:r>
            <w:r>
              <w:rPr>
                <w:rFonts w:ascii="Arial" w:eastAsia="Arial Unicode MS" w:hAnsi="Arial" w:cs="David" w:hint="cs"/>
                <w:snapToGrid w:val="0"/>
                <w:spacing w:val="0"/>
                <w:sz w:val="20"/>
                <w:szCs w:val="26"/>
                <w:rtl/>
              </w:rPr>
              <w:t xml:space="preserve">כפי </w:t>
            </w:r>
            <w:r w:rsidRPr="00C84526">
              <w:rPr>
                <w:rFonts w:ascii="Arial" w:eastAsia="Arial Unicode MS" w:hAnsi="Arial" w:cs="David" w:hint="cs"/>
                <w:snapToGrid w:val="0"/>
                <w:spacing w:val="0"/>
                <w:sz w:val="20"/>
                <w:szCs w:val="26"/>
                <w:rtl/>
              </w:rPr>
              <w:t>שהורה השר בהסכמת השר לביטחון הפנים, אם הורה.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הודעה על הסמכת מפקח לפי סעיף זה תפורסם ברשומות.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סמכויות פיקוח ואכיפה</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22.</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לשם פיקוח על ביצוע הוראות לפי חוק זה, רשאי מפקח, לאחר שהזדהה לפי סעיף </w:t>
            </w:r>
            <w:r>
              <w:rPr>
                <w:rFonts w:ascii="Arial" w:eastAsia="Arial Unicode MS" w:hAnsi="Arial" w:cs="David" w:hint="cs"/>
                <w:snapToGrid w:val="0"/>
                <w:spacing w:val="0"/>
                <w:sz w:val="20"/>
                <w:szCs w:val="26"/>
                <w:rtl/>
              </w:rPr>
              <w:t>23</w:t>
            </w:r>
            <w:r w:rsidRPr="00C84526">
              <w:rPr>
                <w:rFonts w:ascii="Arial" w:eastAsia="Arial Unicode MS" w:hAnsi="Arial" w:cs="David" w:hint="cs"/>
                <w:snapToGrid w:val="0"/>
                <w:spacing w:val="0"/>
                <w:sz w:val="20"/>
                <w:szCs w:val="26"/>
                <w:rtl/>
              </w:rPr>
              <w:t xml:space="preserve"> </w:t>
            </w:r>
            <w:r w:rsidRPr="00C84526">
              <w:rPr>
                <w:rFonts w:ascii="Arial" w:eastAsia="Arial Unicode MS" w:hAnsi="Arial" w:cs="David"/>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לדרוש מכל אדם למסור לו את שמו ומענו ולהציג בפניו תעודת זהות או תעודה רשמית אחרת המזהה אותו;</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לדרוש מכל אדם הנוגע בדבר למסור לו כל ידיעה או מסמך שיש בהם כדי להבטיח את ביצוע</w:t>
            </w:r>
            <w:r>
              <w:rPr>
                <w:rFonts w:ascii="Arial" w:eastAsia="Arial Unicode MS" w:hAnsi="Arial" w:cs="David" w:hint="cs"/>
                <w:snapToGrid w:val="0"/>
                <w:spacing w:val="0"/>
                <w:sz w:val="20"/>
                <w:szCs w:val="26"/>
                <w:rtl/>
              </w:rPr>
              <w:t>ן של</w:t>
            </w:r>
            <w:r w:rsidRPr="00C84526">
              <w:rPr>
                <w:rFonts w:ascii="Arial" w:eastAsia="Arial Unicode MS" w:hAnsi="Arial" w:cs="David" w:hint="cs"/>
                <w:snapToGrid w:val="0"/>
                <w:spacing w:val="0"/>
                <w:sz w:val="20"/>
                <w:szCs w:val="26"/>
                <w:rtl/>
              </w:rPr>
              <w:t xml:space="preserve"> הוראות חוק זה או להקל על ביצוען; לעניין זה, "מסמך"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לרבות פלט, כהגדרתו בחוק המחשבים</w:t>
            </w:r>
            <w:r>
              <w:rPr>
                <w:rFonts w:ascii="Arial" w:eastAsia="Arial Unicode MS" w:hAnsi="Arial" w:cs="David" w:hint="cs"/>
                <w:snapToGrid w:val="0"/>
                <w:spacing w:val="0"/>
                <w:sz w:val="20"/>
                <w:szCs w:val="26"/>
                <w:rtl/>
              </w:rPr>
              <w:t>, התשנ"ה</w:t>
            </w:r>
            <w:r>
              <w:rPr>
                <w:rFonts w:ascii="Arial" w:eastAsia="Arial Unicode MS" w:hAnsi="Arial" w:cs="David" w:hint="eastAsia"/>
                <w:snapToGrid w:val="0"/>
                <w:spacing w:val="0"/>
                <w:sz w:val="20"/>
                <w:szCs w:val="26"/>
                <w:rtl/>
              </w:rPr>
              <w:t>–1995</w:t>
            </w:r>
            <w:r>
              <w:rPr>
                <w:rStyle w:val="a6"/>
                <w:rFonts w:ascii="Arial" w:eastAsia="Arial Unicode MS" w:hAnsi="Arial" w:cs="David"/>
                <w:snapToGrid w:val="0"/>
                <w:spacing w:val="0"/>
                <w:sz w:val="20"/>
                <w:szCs w:val="26"/>
                <w:rtl/>
              </w:rPr>
              <w:footnoteReference w:id="9"/>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לערוך בדיקות או מדידות וליטול דוגמאות לשם בדיקה, וכן להורות על מסירת דוגמאות לבדיקת מעבדה או על שמירתן לתקופה שיורה, או לנהוג בהן בדרך אחרת;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(4)</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להיכנס למקום שיש לו יסוד סביר להניח שמצויות בו כוורות מאוכלסות, דבש, דבורים או כוורות, לרבות לכלי טיס או לכלי רכב כשהוא נייח, ובלבד שלא ייכנס למקום המשמש למגורים אלא על פי צו של בית משפט.</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התעורר חשד לביצוע עבירה לפי חוק זה, רשאי מפקח </w:t>
            </w:r>
            <w:r w:rsidRPr="00C84526">
              <w:rPr>
                <w:rFonts w:ascii="Arial" w:eastAsia="Arial Unicode MS" w:hAnsi="Arial" w:cs="David"/>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לחקור כל אדם הקשור לעבירה כאמור או שעשויות להיות לו ידיעות הנוגעות לעבירה כאמור; על חקירה לפי פסקה זו יחולו הוראות סעיפים 2 ו-3 לפקודת הפרוצדורה הפלילית (עדות</w:t>
            </w:r>
            <w:r>
              <w:rPr>
                <w:rFonts w:ascii="Arial" w:eastAsia="Arial Unicode MS" w:hAnsi="Arial" w:cs="David" w:hint="cs"/>
                <w:snapToGrid w:val="0"/>
                <w:spacing w:val="0"/>
                <w:sz w:val="20"/>
                <w:szCs w:val="26"/>
                <w:rtl/>
              </w:rPr>
              <w:t>)</w:t>
            </w:r>
            <w:r>
              <w:rPr>
                <w:rStyle w:val="a6"/>
                <w:rFonts w:ascii="Arial" w:eastAsia="Arial Unicode MS" w:hAnsi="Arial" w:cs="David"/>
                <w:snapToGrid w:val="0"/>
                <w:spacing w:val="0"/>
                <w:sz w:val="20"/>
                <w:szCs w:val="26"/>
                <w:rtl/>
              </w:rPr>
              <w:footnoteReference w:id="10"/>
            </w:r>
            <w:r>
              <w:rPr>
                <w:rFonts w:ascii="Arial" w:eastAsia="Arial Unicode MS" w:hAnsi="Arial" w:cs="David" w:hint="cs"/>
                <w:snapToGrid w:val="0"/>
                <w:spacing w:val="0"/>
                <w:sz w:val="20"/>
                <w:szCs w:val="26"/>
                <w:rtl/>
              </w:rPr>
              <w:t>,</w:t>
            </w:r>
            <w:r w:rsidRPr="00C84526">
              <w:rPr>
                <w:rFonts w:ascii="Arial" w:eastAsia="Arial Unicode MS" w:hAnsi="Arial" w:cs="David" w:hint="cs"/>
                <w:snapToGrid w:val="0"/>
                <w:spacing w:val="0"/>
                <w:sz w:val="20"/>
                <w:szCs w:val="26"/>
                <w:rtl/>
              </w:rPr>
              <w:t xml:space="preserve"> בשינויים המחויבים;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לתפוס כוורות, דבורים, דבש, מסמכים וחפצים הקשורים לעבירה כאמור; על תפיסה לפי פסקה זו יחולו הוראות הפרק הרביעי לפקודת סדר הדין הפלילי (מעצר וחיפוש) [נוסח חדש], התשכ"ט</w:t>
            </w:r>
            <w:r>
              <w:rPr>
                <w:rFonts w:ascii="Arial" w:eastAsia="Arial Unicode MS" w:hAnsi="Arial" w:cs="David" w:hint="eastAsia"/>
                <w:snapToGrid w:val="0"/>
                <w:spacing w:val="0"/>
                <w:sz w:val="20"/>
                <w:szCs w:val="26"/>
                <w:rtl/>
              </w:rPr>
              <w:t>–</w:t>
            </w:r>
            <w:r w:rsidRPr="00C84526">
              <w:rPr>
                <w:rFonts w:ascii="Arial" w:eastAsia="Arial Unicode MS" w:hAnsi="Arial" w:cs="David" w:hint="cs"/>
                <w:snapToGrid w:val="0"/>
                <w:spacing w:val="0"/>
                <w:sz w:val="20"/>
                <w:szCs w:val="26"/>
                <w:rtl/>
              </w:rPr>
              <w:t>1969</w:t>
            </w:r>
            <w:r>
              <w:rPr>
                <w:rStyle w:val="a6"/>
                <w:rFonts w:ascii="Arial" w:eastAsia="Arial Unicode MS" w:hAnsi="Arial" w:cs="David"/>
                <w:snapToGrid w:val="0"/>
                <w:spacing w:val="0"/>
                <w:sz w:val="20"/>
                <w:szCs w:val="26"/>
                <w:rtl/>
              </w:rPr>
              <w:footnoteReference w:id="11"/>
            </w:r>
            <w:r w:rsidRPr="00C84526">
              <w:rPr>
                <w:rFonts w:ascii="Arial" w:eastAsia="Arial Unicode MS" w:hAnsi="Arial" w:cs="David" w:hint="cs"/>
                <w:snapToGrid w:val="0"/>
                <w:spacing w:val="0"/>
                <w:sz w:val="20"/>
                <w:szCs w:val="26"/>
                <w:rtl/>
              </w:rPr>
              <w:t xml:space="preserve"> (להלן </w:t>
            </w:r>
            <w:r>
              <w:rPr>
                <w:rFonts w:ascii="Arial" w:eastAsia="Arial Unicode MS" w:hAnsi="Arial" w:cs="David" w:hint="eastAsia"/>
                <w:snapToGrid w:val="0"/>
                <w:spacing w:val="0"/>
                <w:sz w:val="20"/>
                <w:szCs w:val="26"/>
                <w:rtl/>
              </w:rPr>
              <w:t>–</w:t>
            </w:r>
            <w:r w:rsidRPr="00C84526">
              <w:rPr>
                <w:rFonts w:ascii="Arial" w:eastAsia="Arial Unicode MS" w:hAnsi="Arial" w:cs="David" w:hint="cs"/>
                <w:snapToGrid w:val="0"/>
                <w:spacing w:val="0"/>
                <w:sz w:val="20"/>
                <w:szCs w:val="26"/>
                <w:rtl/>
              </w:rPr>
              <w:t xml:space="preserve"> פקודת מעצר וחיפוש), בשינויים המחויבים, אלא אם כן נקבעו לגביה הוראות לפי סעיף </w:t>
            </w:r>
            <w:r>
              <w:rPr>
                <w:rFonts w:ascii="Arial" w:eastAsia="Arial Unicode MS" w:hAnsi="Arial" w:cs="David" w:hint="cs"/>
                <w:snapToGrid w:val="0"/>
                <w:spacing w:val="0"/>
                <w:sz w:val="20"/>
                <w:szCs w:val="26"/>
                <w:rtl/>
              </w:rPr>
              <w:t>25</w:t>
            </w:r>
            <w:r w:rsidRPr="00C84526">
              <w:rPr>
                <w:rFonts w:ascii="Arial" w:eastAsia="Arial Unicode MS" w:hAnsi="Arial" w:cs="David" w:hint="cs"/>
                <w:snapToGrid w:val="0"/>
                <w:spacing w:val="0"/>
                <w:sz w:val="20"/>
                <w:szCs w:val="26"/>
                <w:rtl/>
              </w:rPr>
              <w:t>(8) לחוק זה;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לבקש מבית משפט צו חיפוש לפי סעיף 23 לפקודת מעצר וחיפוש ולבצעו; על חיפוש לפי פסקה זו יחולו הוראות סעיפים 24(א)(1), 26 עד 28 ו-45 לפקודת מעצר וחיפוש, בשינויים המחויבים.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(ג)</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סירב אדם להיענות לדרישות מפקח, על פי </w:t>
            </w:r>
            <w:r>
              <w:rPr>
                <w:rFonts w:ascii="Arial" w:eastAsia="Arial Unicode MS" w:hAnsi="Arial" w:cs="David" w:hint="cs"/>
                <w:snapToGrid w:val="0"/>
                <w:spacing w:val="0"/>
                <w:sz w:val="20"/>
                <w:szCs w:val="26"/>
                <w:rtl/>
              </w:rPr>
              <w:t>הסמכויות הנתונות לו לפי פרק זה</w:t>
            </w:r>
            <w:r w:rsidRPr="00C84526">
              <w:rPr>
                <w:rFonts w:ascii="Arial" w:eastAsia="Arial Unicode MS" w:hAnsi="Arial" w:cs="David" w:hint="cs"/>
                <w:snapToGrid w:val="0"/>
                <w:spacing w:val="0"/>
                <w:sz w:val="20"/>
                <w:szCs w:val="26"/>
                <w:rtl/>
              </w:rPr>
              <w:t xml:space="preserve">, וקיים חשש שיימלט או שזהותו אינה ידועה, רשאי המפקח לעכבו עד לבואו של שוטר, ויחולו על עיכוב כאמור הוראות סעיף 75(ב) ו-(ג) לחוק סדר הדין הפלילי (סמכויות אכיפה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מעצרים), התשנ"ו</w:t>
            </w:r>
            <w:r>
              <w:rPr>
                <w:rFonts w:ascii="Arial" w:eastAsia="Arial Unicode MS" w:hAnsi="Arial" w:cs="David" w:hint="eastAsia"/>
                <w:snapToGrid w:val="0"/>
                <w:spacing w:val="0"/>
                <w:sz w:val="20"/>
                <w:szCs w:val="26"/>
                <w:rtl/>
              </w:rPr>
              <w:t>–</w:t>
            </w:r>
            <w:r w:rsidRPr="00C84526">
              <w:rPr>
                <w:rFonts w:ascii="Arial" w:eastAsia="Arial Unicode MS" w:hAnsi="Arial" w:cs="David" w:hint="cs"/>
                <w:snapToGrid w:val="0"/>
                <w:spacing w:val="0"/>
                <w:sz w:val="20"/>
                <w:szCs w:val="26"/>
                <w:rtl/>
              </w:rPr>
              <w:t>1996</w:t>
            </w:r>
            <w:r>
              <w:rPr>
                <w:rStyle w:val="a6"/>
                <w:rFonts w:ascii="Arial" w:eastAsia="Arial Unicode MS" w:hAnsi="Arial" w:cs="David"/>
                <w:snapToGrid w:val="0"/>
                <w:spacing w:val="0"/>
                <w:sz w:val="20"/>
                <w:szCs w:val="26"/>
                <w:rtl/>
              </w:rPr>
              <w:footnoteReference w:id="12"/>
            </w:r>
            <w:r w:rsidRPr="00C84526">
              <w:rPr>
                <w:rFonts w:ascii="Arial" w:eastAsia="Arial Unicode MS" w:hAnsi="Arial" w:cs="David" w:hint="cs"/>
                <w:snapToGrid w:val="0"/>
                <w:spacing w:val="0"/>
                <w:sz w:val="20"/>
                <w:szCs w:val="26"/>
                <w:rtl/>
              </w:rPr>
              <w:t>, בשינויים המחויבים.</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(ד)</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אין בסמכויות מפקח לפי חוק זה כדי לגרוע מסמכויות פיקוח שניתנו לו לפי כל דין אחר.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זיהוי מפקחים</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23.</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מפקח לא יעשה שימוש בסמכויות הנתונות לו לפי חוק זה, אלא בעת מילוי תפקידו ובהתקיים שניים אלה</w:t>
            </w:r>
            <w:r>
              <w:rPr>
                <w:rFonts w:ascii="Arial" w:eastAsia="Arial Unicode MS" w:hAnsi="Arial" w:cs="David" w:hint="cs"/>
                <w:snapToGrid w:val="0"/>
                <w:spacing w:val="0"/>
                <w:sz w:val="20"/>
                <w:szCs w:val="26"/>
                <w:rtl/>
              </w:rPr>
              <w:t xml:space="preserve"> </w:t>
            </w:r>
            <w:r>
              <w:rPr>
                <w:rFonts w:ascii="Arial" w:eastAsia="Arial Unicode MS" w:hAnsi="Arial" w:cs="David" w:hint="eastAsia"/>
                <w:snapToGrid w:val="0"/>
                <w:spacing w:val="0"/>
                <w:sz w:val="20"/>
                <w:szCs w:val="26"/>
                <w:rtl/>
              </w:rPr>
              <w:t>–</w:t>
            </w:r>
          </w:p>
        </w:tc>
      </w:tr>
      <w:tr w:rsidR="001A7C31" w:rsidRPr="00C84526" w:rsidTr="00445BD2">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הוא לובש מדי מפקח, בצבע ובצורה שהורה לעניין זה המנהל הכללי של משרד החקלאות ופיתוח הכפר, ובלבד שהמדים כאמור אינם נחזים להיות מדי משטרה, והוא עונד באופן גלוי תג המזהה אותו ואת תפקידו;</w:t>
            </w:r>
          </w:p>
        </w:tc>
      </w:tr>
      <w:tr w:rsidR="001A7C31" w:rsidRPr="00C84526" w:rsidTr="00C96A15">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יש בידו תעודת מפקח המעידה על תפקידו ועל סמכויותיו, שאותה יציג על פי דרישה.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jc w:val="center"/>
              <w:rPr>
                <w:rFonts w:ascii="Arial" w:eastAsia="Arial Unicode MS" w:hAnsi="Arial" w:cs="David"/>
                <w:b/>
                <w:bCs/>
                <w:snapToGrid w:val="0"/>
                <w:spacing w:val="0"/>
                <w:sz w:val="20"/>
                <w:szCs w:val="26"/>
              </w:rPr>
            </w:pPr>
            <w:r w:rsidRPr="00C84526">
              <w:rPr>
                <w:rFonts w:ascii="Arial" w:eastAsia="Arial Unicode MS" w:hAnsi="Arial" w:cs="David" w:hint="cs"/>
                <w:b/>
                <w:bCs/>
                <w:snapToGrid w:val="0"/>
                <w:spacing w:val="0"/>
                <w:sz w:val="20"/>
                <w:szCs w:val="26"/>
                <w:rtl/>
              </w:rPr>
              <w:t>פרק ז': עונשין והוראות שונות</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עונשין</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24.</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מי שעשה אחד מאלה</w:t>
            </w:r>
            <w:r w:rsidRPr="00C84526">
              <w:rPr>
                <w:rFonts w:ascii="Arial" w:eastAsia="Arial Unicode MS" w:hAnsi="Arial" w:cs="David" w:hint="cs"/>
                <w:snapToGrid w:val="0"/>
                <w:spacing w:val="0"/>
                <w:sz w:val="20"/>
                <w:szCs w:val="26"/>
                <w:rtl/>
              </w:rPr>
              <w:t xml:space="preserve">, דינו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קנס בשיעור הקבוע בסעיף 61(א)(4) לחוק העונשין, התשל"ז</w:t>
            </w:r>
            <w:r>
              <w:rPr>
                <w:rFonts w:ascii="Arial" w:eastAsia="Arial Unicode MS" w:hAnsi="Arial" w:cs="David" w:hint="eastAsia"/>
                <w:snapToGrid w:val="0"/>
                <w:spacing w:val="0"/>
                <w:sz w:val="20"/>
                <w:szCs w:val="26"/>
                <w:rtl/>
              </w:rPr>
              <w:t>–</w:t>
            </w:r>
            <w:r w:rsidRPr="00C84526">
              <w:rPr>
                <w:rFonts w:ascii="Arial" w:eastAsia="Arial Unicode MS" w:hAnsi="Arial" w:cs="David" w:hint="cs"/>
                <w:snapToGrid w:val="0"/>
                <w:spacing w:val="0"/>
                <w:sz w:val="20"/>
                <w:szCs w:val="26"/>
                <w:rtl/>
              </w:rPr>
              <w:t>1977</w:t>
            </w:r>
            <w:r>
              <w:rPr>
                <w:rStyle w:val="a6"/>
                <w:rFonts w:ascii="Arial" w:eastAsia="Arial Unicode MS" w:hAnsi="Arial" w:cs="David"/>
                <w:snapToGrid w:val="0"/>
                <w:spacing w:val="0"/>
                <w:sz w:val="20"/>
                <w:szCs w:val="26"/>
                <w:rtl/>
              </w:rPr>
              <w:footnoteReference w:id="13"/>
            </w:r>
            <w:r>
              <w:rPr>
                <w:rFonts w:ascii="Arial" w:eastAsia="Arial Unicode MS" w:hAnsi="Arial" w:cs="David" w:hint="cs"/>
                <w:snapToGrid w:val="0"/>
                <w:spacing w:val="0"/>
                <w:sz w:val="20"/>
                <w:szCs w:val="26"/>
                <w:rtl/>
              </w:rPr>
              <w:t xml:space="preserve"> (להלן </w:t>
            </w:r>
            <w:r>
              <w:rPr>
                <w:rFonts w:ascii="Arial" w:eastAsia="Arial Unicode MS" w:hAnsi="Arial" w:cs="David" w:hint="eastAsia"/>
                <w:snapToGrid w:val="0"/>
                <w:spacing w:val="0"/>
                <w:sz w:val="20"/>
                <w:szCs w:val="26"/>
                <w:rtl/>
              </w:rPr>
              <w:t>– חוק העונשין</w:t>
            </w:r>
            <w:r>
              <w:rPr>
                <w:rFonts w:ascii="Arial" w:eastAsia="Arial Unicode MS" w:hAnsi="Arial" w:cs="David" w:hint="cs"/>
                <w:snapToGrid w:val="0"/>
                <w:spacing w:val="0"/>
                <w:sz w:val="20"/>
                <w:szCs w:val="26"/>
                <w:rtl/>
              </w:rPr>
              <w:t xml:space="preserve">) </w:t>
            </w:r>
            <w:r>
              <w:rPr>
                <w:rFonts w:ascii="Arial" w:eastAsia="Arial Unicode MS" w:hAnsi="Arial" w:cs="David" w:hint="eastAsia"/>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ציב כוורות מאוכלסות במקרקעי ציבור בלא היתר מאת ועדת ההיתרים או בניגוד לתנאיו, בניגוד להוראות פרק ג';</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ציב כוורות מאוכלסות במקרקעין שאינם מקרקעי ציבור בלי לרושמן במרשם, בניגוד להוראות סעיף פרק ד';</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זין דבורים בסוכר לסוגיו או במרכיבי סוכר לסוגיו, בניגוד לסעיף 19;</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(4)</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w:t>
            </w:r>
            <w:r w:rsidRPr="00C84526">
              <w:rPr>
                <w:rFonts w:ascii="Arial" w:eastAsia="Arial Unicode MS" w:hAnsi="Arial" w:cs="David" w:hint="cs"/>
                <w:snapToGrid w:val="0"/>
                <w:spacing w:val="0"/>
                <w:sz w:val="20"/>
                <w:szCs w:val="26"/>
                <w:rtl/>
              </w:rPr>
              <w:t>וסיף חומר לדבש לפני רדייתו או במהלכה, בניגוד לסעיף 20.</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נושא משרה בתאגיד חייב לפקח ולעשות כל שניתן למניעת עבירות לפי סעיף קטן (א) </w:t>
            </w:r>
            <w:r>
              <w:rPr>
                <w:rFonts w:ascii="Arial" w:eastAsia="Arial Unicode MS" w:hAnsi="Arial" w:cs="David" w:hint="cs"/>
                <w:snapToGrid w:val="0"/>
                <w:spacing w:val="0"/>
                <w:sz w:val="20"/>
                <w:szCs w:val="26"/>
                <w:rtl/>
              </w:rPr>
              <w:t>ב</w:t>
            </w:r>
            <w:r w:rsidRPr="00C84526">
              <w:rPr>
                <w:rFonts w:ascii="Arial" w:eastAsia="Arial Unicode MS" w:hAnsi="Arial" w:cs="David" w:hint="cs"/>
                <w:snapToGrid w:val="0"/>
                <w:spacing w:val="0"/>
                <w:sz w:val="20"/>
                <w:szCs w:val="26"/>
                <w:rtl/>
              </w:rPr>
              <w:t xml:space="preserve">ידי התאגיד או </w:t>
            </w:r>
            <w:r>
              <w:rPr>
                <w:rFonts w:ascii="Arial" w:eastAsia="Arial Unicode MS" w:hAnsi="Arial" w:cs="David" w:hint="cs"/>
                <w:snapToGrid w:val="0"/>
                <w:spacing w:val="0"/>
                <w:sz w:val="20"/>
                <w:szCs w:val="26"/>
                <w:rtl/>
              </w:rPr>
              <w:t>ב</w:t>
            </w:r>
            <w:r w:rsidRPr="00C84526">
              <w:rPr>
                <w:rFonts w:ascii="Arial" w:eastAsia="Arial Unicode MS" w:hAnsi="Arial" w:cs="David" w:hint="cs"/>
                <w:snapToGrid w:val="0"/>
                <w:spacing w:val="0"/>
                <w:sz w:val="20"/>
                <w:szCs w:val="26"/>
                <w:rtl/>
              </w:rPr>
              <w:t xml:space="preserve">ידי עובד מעובדיו; המפר </w:t>
            </w:r>
            <w:r>
              <w:rPr>
                <w:rFonts w:ascii="Arial" w:eastAsia="Arial Unicode MS" w:hAnsi="Arial" w:cs="David" w:hint="cs"/>
                <w:snapToGrid w:val="0"/>
                <w:spacing w:val="0"/>
                <w:sz w:val="20"/>
                <w:szCs w:val="26"/>
                <w:rtl/>
              </w:rPr>
              <w:t>חובה</w:t>
            </w:r>
            <w:r w:rsidRPr="00C84526">
              <w:rPr>
                <w:rFonts w:ascii="Arial" w:eastAsia="Arial Unicode MS" w:hAnsi="Arial" w:cs="David" w:hint="cs"/>
                <w:snapToGrid w:val="0"/>
                <w:spacing w:val="0"/>
                <w:sz w:val="20"/>
                <w:szCs w:val="26"/>
                <w:rtl/>
              </w:rPr>
              <w:t xml:space="preserve"> זו, דינו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קנס כאמור בסעיף 61(א)(3) לחוק העונשין; לעניין סעיף זה, "נושא משרה בתאגיד" </w:t>
            </w:r>
            <w:r w:rsidRPr="00C84526">
              <w:rPr>
                <w:rFonts w:ascii="Arial" w:eastAsia="Arial Unicode MS" w:hAnsi="Arial" w:cs="David"/>
                <w:snapToGrid w:val="0"/>
                <w:spacing w:val="0"/>
                <w:sz w:val="20"/>
                <w:szCs w:val="26"/>
                <w:rtl/>
              </w:rPr>
              <w:t>–</w:t>
            </w:r>
            <w:r w:rsidRPr="00C84526">
              <w:rPr>
                <w:rFonts w:ascii="Arial" w:eastAsia="Arial Unicode MS" w:hAnsi="Arial" w:cs="David" w:hint="cs"/>
                <w:snapToGrid w:val="0"/>
                <w:spacing w:val="0"/>
                <w:sz w:val="20"/>
                <w:szCs w:val="26"/>
                <w:rtl/>
              </w:rPr>
              <w:t xml:space="preserve"> מנהל פעיל בתאגיד, שותף, למעט שותף מוגבל, או אדם האחראי מטעם התאגיד על התחום שבו נעברה העבירה.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(ג)</w:t>
            </w:r>
            <w:r>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נעברה עבירה לפי סעיף קטן (א)</w:t>
            </w:r>
            <w:r w:rsidRPr="00C84526">
              <w:rPr>
                <w:rFonts w:ascii="Arial" w:eastAsia="Arial Unicode MS" w:hAnsi="Arial" w:cs="David"/>
                <w:snapToGrid w:val="0"/>
                <w:spacing w:val="0"/>
                <w:sz w:val="20"/>
                <w:szCs w:val="26"/>
                <w:rtl/>
              </w:rPr>
              <w:t xml:space="preserve"> </w:t>
            </w:r>
            <w:r w:rsidRPr="00C84526">
              <w:rPr>
                <w:rFonts w:ascii="Arial" w:eastAsia="Arial Unicode MS" w:hAnsi="Arial" w:cs="David" w:hint="cs"/>
                <w:snapToGrid w:val="0"/>
                <w:spacing w:val="0"/>
                <w:sz w:val="20"/>
                <w:szCs w:val="26"/>
                <w:rtl/>
              </w:rPr>
              <w:t>בידי תאגיד או בידי עובד מעובדיו, חזקה היא כי נושא המשרה בתאגיד הפר חובתו לפי סעיף קטן (ב), אלא אם כן הוכיח כי עשה כל שניתן כדי למלא את חובתו.</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תקנות</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25.</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השר ממונה על ביצוע חוק זה והוא רשאי</w:t>
            </w:r>
            <w:r>
              <w:rPr>
                <w:rFonts w:ascii="Arial" w:eastAsia="Arial Unicode MS" w:hAnsi="Arial" w:cs="David" w:hint="cs"/>
                <w:snapToGrid w:val="0"/>
                <w:spacing w:val="0"/>
                <w:sz w:val="20"/>
                <w:szCs w:val="26"/>
                <w:rtl/>
              </w:rPr>
              <w:t>,</w:t>
            </w:r>
            <w:r w:rsidRPr="00C84526">
              <w:rPr>
                <w:rFonts w:ascii="Arial" w:eastAsia="Arial Unicode MS" w:hAnsi="Arial" w:cs="David" w:hint="cs"/>
                <w:snapToGrid w:val="0"/>
                <w:spacing w:val="0"/>
                <w:sz w:val="20"/>
                <w:szCs w:val="26"/>
                <w:rtl/>
              </w:rPr>
              <w:t xml:space="preserve"> להתקין תקנות לביצועו</w:t>
            </w:r>
            <w:r>
              <w:rPr>
                <w:rFonts w:ascii="Arial" w:eastAsia="Arial Unicode MS" w:hAnsi="Arial" w:cs="David" w:hint="cs"/>
                <w:snapToGrid w:val="0"/>
                <w:spacing w:val="0"/>
                <w:sz w:val="20"/>
                <w:szCs w:val="26"/>
                <w:rtl/>
              </w:rPr>
              <w:t>, באישור ועדת הכלכלה של הכנסת, ובכלל זה בעניינים אלה:</w:t>
            </w:r>
          </w:p>
        </w:tc>
      </w:tr>
      <w:tr w:rsidR="001A7C31" w:rsidRPr="00C84526" w:rsidTr="00E53C2F">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(1</w:t>
            </w:r>
            <w:r w:rsidRPr="00C84526">
              <w:rPr>
                <w:rFonts w:ascii="Arial" w:eastAsia="Arial Unicode MS" w:hAnsi="Arial" w:cs="David"/>
                <w:snapToGrid w:val="0"/>
                <w:spacing w:val="0"/>
                <w:sz w:val="20"/>
                <w:szCs w:val="26"/>
                <w:rtl/>
              </w:rPr>
              <w:t>)</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כללים בדבר ההליכים לעריכת מכרזים, קביעת הניקוד במכרז, דרכי הגשתן של ההצעות והטיפול בהן, וכן הדרכים והמועדים למסירת מידע בדבר תוצאות המכרזים;</w:t>
            </w:r>
          </w:p>
        </w:tc>
      </w:tr>
      <w:tr w:rsidR="001A7C31" w:rsidRPr="00C84526" w:rsidTr="00340987">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(2)</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הוראות הנוגעות ל</w:t>
            </w:r>
            <w:r w:rsidRPr="00C84526">
              <w:rPr>
                <w:rFonts w:ascii="Arial" w:eastAsia="Arial Unicode MS" w:hAnsi="Arial" w:cs="David" w:hint="cs"/>
                <w:snapToGrid w:val="0"/>
                <w:spacing w:val="0"/>
                <w:sz w:val="20"/>
                <w:szCs w:val="26"/>
                <w:rtl/>
              </w:rPr>
              <w:t xml:space="preserve">דרכי מינוי חברי ועדת ההיתרים, המניין החוקי </w:t>
            </w:r>
            <w:r>
              <w:rPr>
                <w:rFonts w:ascii="Arial" w:eastAsia="Arial Unicode MS" w:hAnsi="Arial" w:cs="David" w:hint="cs"/>
                <w:snapToGrid w:val="0"/>
                <w:spacing w:val="0"/>
                <w:sz w:val="20"/>
                <w:szCs w:val="26"/>
                <w:rtl/>
              </w:rPr>
              <w:t>בוועדה</w:t>
            </w:r>
            <w:r w:rsidRPr="00C84526">
              <w:rPr>
                <w:rFonts w:ascii="Arial" w:eastAsia="Arial Unicode MS" w:hAnsi="Arial" w:cs="David" w:hint="cs"/>
                <w:snapToGrid w:val="0"/>
                <w:spacing w:val="0"/>
                <w:sz w:val="20"/>
                <w:szCs w:val="26"/>
                <w:rtl/>
              </w:rPr>
              <w:t xml:space="preserve"> לקבלת החלטות, דרכי עבודתה וסדרי דיוניה, </w:t>
            </w:r>
            <w:r>
              <w:rPr>
                <w:rFonts w:ascii="Arial" w:eastAsia="Arial Unicode MS" w:hAnsi="Arial" w:cs="David" w:hint="cs"/>
                <w:snapToGrid w:val="0"/>
                <w:spacing w:val="0"/>
                <w:sz w:val="20"/>
                <w:szCs w:val="26"/>
                <w:rtl/>
              </w:rPr>
              <w:t>ובכלל זה לעניין קבלת התנגדויות לפי סעיף 9(א)(3)(ד)</w:t>
            </w:r>
            <w:r w:rsidRPr="00C84526">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 xml:space="preserve">והאופן שבו מי שעלול להיפגע מהחלטותיה רשאי </w:t>
            </w:r>
            <w:r w:rsidRPr="00C84526">
              <w:rPr>
                <w:rFonts w:ascii="Arial" w:eastAsia="Arial Unicode MS" w:hAnsi="Arial" w:cs="David" w:hint="cs"/>
                <w:snapToGrid w:val="0"/>
                <w:spacing w:val="0"/>
                <w:sz w:val="20"/>
                <w:szCs w:val="26"/>
                <w:rtl/>
              </w:rPr>
              <w:t>לטעון</w:t>
            </w:r>
            <w:r>
              <w:rPr>
                <w:rFonts w:ascii="Arial" w:eastAsia="Arial Unicode MS" w:hAnsi="Arial" w:cs="David" w:hint="cs"/>
                <w:snapToGrid w:val="0"/>
                <w:spacing w:val="0"/>
                <w:sz w:val="20"/>
                <w:szCs w:val="26"/>
                <w:rtl/>
              </w:rPr>
              <w:t xml:space="preserve"> את טענותיו</w:t>
            </w:r>
            <w:r w:rsidRPr="00C84526">
              <w:rPr>
                <w:rFonts w:ascii="Arial" w:eastAsia="Arial Unicode MS" w:hAnsi="Arial" w:cs="David" w:hint="cs"/>
                <w:snapToGrid w:val="0"/>
                <w:spacing w:val="0"/>
                <w:sz w:val="20"/>
                <w:szCs w:val="26"/>
                <w:rtl/>
              </w:rPr>
              <w:t xml:space="preserve"> לפניה לפי סעיף </w:t>
            </w:r>
            <w:r>
              <w:rPr>
                <w:rFonts w:ascii="Arial" w:eastAsia="Arial Unicode MS" w:hAnsi="Arial" w:cs="David" w:hint="cs"/>
                <w:snapToGrid w:val="0"/>
                <w:spacing w:val="0"/>
                <w:sz w:val="20"/>
                <w:szCs w:val="26"/>
                <w:rtl/>
              </w:rPr>
              <w:t>10</w:t>
            </w:r>
            <w:r w:rsidRPr="00C84526">
              <w:rPr>
                <w:rFonts w:ascii="Arial" w:eastAsia="Arial Unicode MS" w:hAnsi="Arial" w:cs="David" w:hint="cs"/>
                <w:snapToGrid w:val="0"/>
                <w:spacing w:val="0"/>
                <w:sz w:val="20"/>
                <w:szCs w:val="26"/>
                <w:rtl/>
              </w:rPr>
              <w:t>(ב);</w:t>
            </w:r>
          </w:p>
        </w:tc>
      </w:tr>
      <w:tr w:rsidR="001A7C31" w:rsidRPr="00C84526" w:rsidTr="006B7835">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(3)</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תנאים והוראות לעניין מתן היתרים, תוקפם והדרכים לשינויים, להשעייתם או לביטולם.</w:t>
            </w:r>
          </w:p>
        </w:tc>
      </w:tr>
      <w:tr w:rsidR="001A7C31" w:rsidRPr="00C84526" w:rsidTr="00F4514A">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(4)</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תנאים והוראות לעניין פרסום במרשם נקודות </w:t>
            </w:r>
            <w:r>
              <w:rPr>
                <w:rFonts w:ascii="Arial" w:eastAsia="Arial Unicode MS" w:hAnsi="Arial" w:cs="David" w:hint="cs"/>
                <w:snapToGrid w:val="0"/>
                <w:spacing w:val="0"/>
                <w:sz w:val="20"/>
                <w:szCs w:val="26"/>
                <w:rtl/>
              </w:rPr>
              <w:t>להצבת כוורות</w:t>
            </w:r>
            <w:r w:rsidRPr="00C84526">
              <w:rPr>
                <w:rFonts w:ascii="Arial" w:eastAsia="Arial Unicode MS" w:hAnsi="Arial" w:cs="David" w:hint="cs"/>
                <w:snapToGrid w:val="0"/>
                <w:spacing w:val="0"/>
                <w:sz w:val="20"/>
                <w:szCs w:val="26"/>
                <w:rtl/>
              </w:rPr>
              <w:t xml:space="preserve"> במקרקעין שאינם מקרקעי ציבור, אופן הרישום המקוון במרשם, מסירת הודעות וסימון הכוורות לפי פרק ד';</w:t>
            </w:r>
          </w:p>
        </w:tc>
      </w:tr>
      <w:tr w:rsidR="001A7C31" w:rsidRPr="00C84526" w:rsidTr="00986B90">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(5)</w:t>
            </w:r>
            <w:r w:rsidRPr="00C84526">
              <w:rPr>
                <w:rFonts w:ascii="Arial" w:eastAsia="Arial Unicode MS" w:hAnsi="Arial" w:cs="David" w:hint="cs"/>
                <w:snapToGrid w:val="0"/>
                <w:spacing w:val="0"/>
                <w:sz w:val="20"/>
                <w:szCs w:val="26"/>
                <w:rtl/>
              </w:rPr>
              <w:tab/>
              <w:t>כללים לעניין סימון כוורות מאוכלסות בעת הצבתן בשטחים פתוחים;</w:t>
            </w:r>
          </w:p>
        </w:tc>
      </w:tr>
      <w:tr w:rsidR="001A7C31" w:rsidRPr="00C84526" w:rsidTr="00416906">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(6)</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הוראות הנוגעות לייצור והחזקת דבש ושמירה על איכותו עד לשיווקו לצרכן, ובכלל זה הוראות לעניין אמצעים ומתקנים שיותקנו בכוורות מאוכלסות לצורך בקרה על אופן הזנת הדבורים;</w:t>
            </w:r>
          </w:p>
        </w:tc>
      </w:tr>
      <w:tr w:rsidR="001A7C31" w:rsidRPr="00C84526" w:rsidTr="00521EB1">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(7)</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הוראות הנוגעות ל</w:t>
            </w:r>
            <w:r w:rsidRPr="00C84526">
              <w:rPr>
                <w:rFonts w:ascii="Arial" w:eastAsia="Arial Unicode MS" w:hAnsi="Arial" w:cs="David" w:hint="cs"/>
                <w:snapToGrid w:val="0"/>
                <w:spacing w:val="0"/>
                <w:sz w:val="20"/>
                <w:szCs w:val="26"/>
                <w:rtl/>
              </w:rPr>
              <w:t>החזקת כוורות מאוכלסות שנתפסו לפי סעיף 22(ב), טיפול בהן וכל פעולה אחרת לגביהן, הטלת הוצאות בגין פעולות אלה וקבלת הכנסות ממכירתן או ממכירת דבש שהופק מהן;</w:t>
            </w:r>
          </w:p>
        </w:tc>
      </w:tr>
      <w:tr w:rsidR="001A7C31" w:rsidRPr="00C84526" w:rsidTr="004D0C1B">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(8)</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קביעת חובות דיווח של דבוראים לוועדת ההיתרים, למרשם ולמשרד;</w:t>
            </w:r>
          </w:p>
        </w:tc>
      </w:tr>
      <w:tr w:rsidR="001A7C31" w:rsidRPr="00C84526" w:rsidTr="00E80049">
        <w:trPr>
          <w:cantSplit/>
          <w:trHeight w:val="60"/>
        </w:trPr>
        <w:tc>
          <w:tcPr>
            <w:tcW w:w="1871"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1A7C31" w:rsidRPr="00C84526" w:rsidRDefault="001A7C31"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(9)</w:t>
            </w:r>
            <w:r w:rsidRPr="00C84526">
              <w:rPr>
                <w:rFonts w:ascii="Arial" w:eastAsia="Arial Unicode MS" w:hAnsi="Arial" w:cs="David"/>
                <w:snapToGrid w:val="0"/>
                <w:spacing w:val="0"/>
                <w:sz w:val="20"/>
                <w:szCs w:val="26"/>
                <w:rtl/>
              </w:rPr>
              <w:tab/>
            </w:r>
            <w:r>
              <w:rPr>
                <w:rFonts w:ascii="Arial" w:eastAsia="Arial Unicode MS" w:hAnsi="Arial" w:cs="David" w:hint="cs"/>
                <w:snapToGrid w:val="0"/>
                <w:spacing w:val="0"/>
                <w:sz w:val="20"/>
                <w:szCs w:val="26"/>
                <w:rtl/>
              </w:rPr>
              <w:t>הוראות הנוגעות ל</w:t>
            </w:r>
            <w:r w:rsidRPr="00C84526">
              <w:rPr>
                <w:rFonts w:ascii="Arial" w:eastAsia="Arial Unicode MS" w:hAnsi="Arial" w:cs="David" w:hint="cs"/>
                <w:snapToGrid w:val="0"/>
                <w:spacing w:val="0"/>
                <w:sz w:val="20"/>
                <w:szCs w:val="26"/>
                <w:rtl/>
              </w:rPr>
              <w:t>תיעוד</w:t>
            </w:r>
            <w:r>
              <w:rPr>
                <w:rFonts w:ascii="Arial" w:eastAsia="Arial Unicode MS" w:hAnsi="Arial" w:cs="David" w:hint="cs"/>
                <w:snapToGrid w:val="0"/>
                <w:spacing w:val="0"/>
                <w:sz w:val="20"/>
                <w:szCs w:val="26"/>
                <w:rtl/>
              </w:rPr>
              <w:t xml:space="preserve"> מסמכים ו</w:t>
            </w:r>
            <w:r w:rsidRPr="00C84526">
              <w:rPr>
                <w:rFonts w:ascii="Arial" w:eastAsia="Arial Unicode MS" w:hAnsi="Arial" w:cs="David" w:hint="cs"/>
                <w:snapToGrid w:val="0"/>
                <w:spacing w:val="0"/>
                <w:sz w:val="20"/>
                <w:szCs w:val="26"/>
                <w:rtl/>
              </w:rPr>
              <w:t>שמירתם ודרכי מסירת הודעות בכל אחד מהנושאים המפורטים בפסקאות (1) עד (</w:t>
            </w:r>
            <w:r>
              <w:rPr>
                <w:rFonts w:ascii="Arial" w:eastAsia="Arial Unicode MS" w:hAnsi="Arial" w:cs="David" w:hint="cs"/>
                <w:snapToGrid w:val="0"/>
                <w:spacing w:val="0"/>
                <w:sz w:val="20"/>
                <w:szCs w:val="26"/>
                <w:rtl/>
              </w:rPr>
              <w:t>8</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jc w:val="center"/>
              <w:rPr>
                <w:rFonts w:ascii="Arial" w:eastAsia="Arial Unicode MS" w:hAnsi="Arial" w:cs="David"/>
                <w:b/>
                <w:bCs/>
                <w:snapToGrid w:val="0"/>
                <w:spacing w:val="0"/>
                <w:sz w:val="20"/>
                <w:szCs w:val="26"/>
              </w:rPr>
            </w:pPr>
            <w:r w:rsidRPr="00C84526">
              <w:rPr>
                <w:rFonts w:ascii="Arial" w:eastAsia="Arial Unicode MS" w:hAnsi="Arial" w:cs="David" w:hint="cs"/>
                <w:b/>
                <w:bCs/>
                <w:snapToGrid w:val="0"/>
                <w:spacing w:val="0"/>
                <w:sz w:val="20"/>
                <w:szCs w:val="26"/>
                <w:rtl/>
              </w:rPr>
              <w:t>פרק ח': תיקונים עקיפים, תחילה והוראות מעבר</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תיקון חוק בתי משפט לעניינים מינהליים</w:t>
            </w: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26</w:t>
            </w:r>
            <w:r w:rsidRPr="00C84526">
              <w:rPr>
                <w:rFonts w:ascii="Arial" w:eastAsia="Arial Unicode MS" w:hAnsi="Arial" w:cs="David" w:hint="cs"/>
                <w:snapToGrid w:val="0"/>
                <w:spacing w:val="0"/>
                <w:sz w:val="20"/>
                <w:szCs w:val="26"/>
                <w:rtl/>
              </w:rPr>
              <w:t>.</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בחוק בתי משפט לעניינים מינהליים, התש"ס–2000‏</w:t>
            </w:r>
            <w:r>
              <w:rPr>
                <w:rStyle w:val="a6"/>
                <w:rFonts w:ascii="Arial" w:eastAsia="Arial Unicode MS" w:hAnsi="Arial" w:cs="David"/>
                <w:snapToGrid w:val="0"/>
                <w:spacing w:val="0"/>
                <w:sz w:val="20"/>
                <w:szCs w:val="26"/>
                <w:rtl/>
              </w:rPr>
              <w:footnoteReference w:id="14"/>
            </w:r>
            <w:r w:rsidRPr="00C84526">
              <w:rPr>
                <w:rFonts w:ascii="Arial" w:eastAsia="Arial Unicode MS" w:hAnsi="Arial" w:cs="David" w:hint="cs"/>
                <w:snapToGrid w:val="0"/>
                <w:spacing w:val="0"/>
                <w:sz w:val="20"/>
                <w:szCs w:val="26"/>
                <w:rtl/>
              </w:rPr>
              <w:t xml:space="preserve">, בתוספת השנייה, אחרי פרט 18 יבוא </w:t>
            </w:r>
            <w:r>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"18א.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 xml:space="preserve">ערעור לפי סעיף 11(ה) לחוק </w:t>
            </w:r>
            <w:r>
              <w:rPr>
                <w:rFonts w:ascii="Arial" w:eastAsia="Arial Unicode MS" w:hAnsi="Arial" w:cs="David" w:hint="cs"/>
                <w:snapToGrid w:val="0"/>
                <w:spacing w:val="0"/>
                <w:sz w:val="20"/>
                <w:szCs w:val="26"/>
                <w:rtl/>
              </w:rPr>
              <w:t>ל</w:t>
            </w:r>
            <w:r w:rsidRPr="00C84526">
              <w:rPr>
                <w:rFonts w:ascii="Arial" w:eastAsia="Arial Unicode MS" w:hAnsi="Arial" w:cs="David" w:hint="cs"/>
                <w:snapToGrid w:val="0"/>
                <w:spacing w:val="0"/>
                <w:sz w:val="20"/>
                <w:szCs w:val="26"/>
                <w:rtl/>
              </w:rPr>
              <w:t>הסדרת רעיית דבורים וייצור דבש, התשע"</w:t>
            </w:r>
            <w:r>
              <w:rPr>
                <w:rFonts w:ascii="Arial" w:eastAsia="Arial Unicode MS" w:hAnsi="Arial" w:cs="David" w:hint="cs"/>
                <w:snapToGrid w:val="0"/>
                <w:spacing w:val="0"/>
                <w:sz w:val="20"/>
                <w:szCs w:val="26"/>
                <w:rtl/>
              </w:rPr>
              <w:t>ו</w:t>
            </w:r>
            <w:r>
              <w:rPr>
                <w:rFonts w:ascii="Arial" w:eastAsia="Arial Unicode MS" w:hAnsi="Arial" w:cs="David" w:hint="eastAsia"/>
                <w:snapToGrid w:val="0"/>
                <w:spacing w:val="0"/>
                <w:sz w:val="20"/>
                <w:szCs w:val="26"/>
                <w:rtl/>
              </w:rPr>
              <w:t>–2015</w:t>
            </w:r>
            <w:r w:rsidRPr="00C84526">
              <w:rPr>
                <w:rFonts w:ascii="Arial" w:eastAsia="Arial Unicode MS" w:hAnsi="Arial" w:cs="David" w:hint="cs"/>
                <w:snapToGrid w:val="0"/>
                <w:spacing w:val="0"/>
                <w:sz w:val="20"/>
                <w:szCs w:val="26"/>
                <w:rtl/>
              </w:rPr>
              <w:t>.</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תחילה והוראות מעבר</w:t>
            </w: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27</w:t>
            </w:r>
            <w:r w:rsidRPr="00C84526">
              <w:rPr>
                <w:rFonts w:ascii="Arial" w:eastAsia="Arial Unicode MS" w:hAnsi="Arial" w:cs="David" w:hint="cs"/>
                <w:snapToGrid w:val="0"/>
                <w:spacing w:val="0"/>
                <w:sz w:val="20"/>
                <w:szCs w:val="26"/>
                <w:rtl/>
              </w:rPr>
              <w:t>.</w:t>
            </w: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(א)</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תחילתו של חוק זה, למעט סעיף 25, שישה חודשים מיום פרסומו (להלן – יום התחילה).</w:t>
            </w:r>
          </w:p>
        </w:tc>
      </w:tr>
      <w:tr w:rsidR="003604B2" w:rsidRPr="00C84526" w:rsidTr="00AB5ACE">
        <w:trPr>
          <w:cantSplit/>
          <w:trHeight w:val="60"/>
        </w:trPr>
        <w:tc>
          <w:tcPr>
            <w:tcW w:w="1871" w:type="dxa"/>
          </w:tcPr>
          <w:p w:rsidR="003604B2" w:rsidRPr="00C84526" w:rsidRDefault="003604B2" w:rsidP="00AB5ACE">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tl/>
              </w:rPr>
            </w:pPr>
          </w:p>
        </w:tc>
        <w:tc>
          <w:tcPr>
            <w:tcW w:w="624" w:type="dxa"/>
          </w:tcPr>
          <w:p w:rsidR="003604B2" w:rsidRPr="00C84526" w:rsidRDefault="003604B2" w:rsidP="00AB5ACE">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6" w:type="dxa"/>
            <w:gridSpan w:val="3"/>
          </w:tcPr>
          <w:p w:rsidR="003604B2" w:rsidRPr="00C84526" w:rsidRDefault="003604B2" w:rsidP="00AB5ACE">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C84526">
              <w:rPr>
                <w:rFonts w:ascii="Arial" w:eastAsia="Arial Unicode MS" w:hAnsi="Arial" w:cs="David" w:hint="cs"/>
                <w:snapToGrid w:val="0"/>
                <w:spacing w:val="0"/>
                <w:sz w:val="20"/>
                <w:szCs w:val="26"/>
                <w:rtl/>
              </w:rPr>
              <w:t>(ב)</w:t>
            </w:r>
            <w:r w:rsidRPr="00C84526">
              <w:rPr>
                <w:rFonts w:ascii="Arial" w:eastAsia="Arial Unicode MS" w:hAnsi="Arial" w:cs="David"/>
                <w:snapToGrid w:val="0"/>
                <w:spacing w:val="0"/>
                <w:sz w:val="20"/>
                <w:szCs w:val="26"/>
                <w:rtl/>
              </w:rPr>
              <w:tab/>
            </w:r>
            <w:r w:rsidRPr="00C84526">
              <w:rPr>
                <w:rFonts w:ascii="Arial" w:eastAsia="Arial Unicode MS" w:hAnsi="Arial" w:cs="David" w:hint="cs"/>
                <w:snapToGrid w:val="0"/>
                <w:spacing w:val="0"/>
                <w:sz w:val="20"/>
                <w:szCs w:val="26"/>
                <w:rtl/>
              </w:rPr>
              <w:t>השר יקבע, עד יום התחילה, תקנות לפי סעיפים 25(1) ו-25(5).</w:t>
            </w:r>
          </w:p>
        </w:tc>
      </w:tr>
      <w:tr w:rsidR="001A7C31">
        <w:trPr>
          <w:cantSplit/>
          <w:trHeight w:val="60"/>
        </w:trPr>
        <w:tc>
          <w:tcPr>
            <w:tcW w:w="1871" w:type="dxa"/>
          </w:tcPr>
          <w:p w:rsidR="001A7C31" w:rsidRDefault="001A7C31" w:rsidP="001A7C31">
            <w:pPr>
              <w:pStyle w:val="TableSideHeading"/>
            </w:pPr>
          </w:p>
        </w:tc>
        <w:tc>
          <w:tcPr>
            <w:tcW w:w="624" w:type="dxa"/>
          </w:tcPr>
          <w:p w:rsidR="001A7C31" w:rsidRDefault="001A7C31" w:rsidP="001A7C31">
            <w:pPr>
              <w:pStyle w:val="TableText"/>
            </w:pPr>
          </w:p>
        </w:tc>
        <w:tc>
          <w:tcPr>
            <w:tcW w:w="624" w:type="dxa"/>
          </w:tcPr>
          <w:p w:rsidR="001A7C31" w:rsidRDefault="001A7C31" w:rsidP="001A7C31">
            <w:pPr>
              <w:pStyle w:val="TableText"/>
            </w:pPr>
            <w:r>
              <w:rPr>
                <w:rFonts w:hint="cs"/>
                <w:rtl/>
              </w:rPr>
              <w:t>(ג)</w:t>
            </w:r>
          </w:p>
        </w:tc>
        <w:tc>
          <w:tcPr>
            <w:tcW w:w="6522" w:type="dxa"/>
            <w:gridSpan w:val="2"/>
          </w:tcPr>
          <w:p w:rsidR="001A7C31" w:rsidRDefault="001A7C31" w:rsidP="001A7C31">
            <w:pPr>
              <w:pStyle w:val="TableBlock"/>
            </w:pPr>
            <w:r w:rsidRPr="006D2D4B">
              <w:rPr>
                <w:rtl/>
              </w:rPr>
              <w:t>(1)</w:t>
            </w:r>
            <w:r w:rsidRPr="006D2D4B">
              <w:rPr>
                <w:rtl/>
              </w:rPr>
              <w:tab/>
            </w:r>
            <w:r w:rsidRPr="006D2D4B">
              <w:rPr>
                <w:rFonts w:hint="eastAsia"/>
                <w:rtl/>
              </w:rPr>
              <w:t>היתרים</w:t>
            </w:r>
            <w:r w:rsidRPr="006D2D4B">
              <w:rPr>
                <w:rtl/>
              </w:rPr>
              <w:t xml:space="preserve"> </w:t>
            </w:r>
            <w:r w:rsidRPr="006D2D4B">
              <w:rPr>
                <w:rFonts w:hint="eastAsia"/>
                <w:rtl/>
              </w:rPr>
              <w:t>שניתנו</w:t>
            </w:r>
            <w:r w:rsidRPr="006D2D4B">
              <w:rPr>
                <w:rtl/>
              </w:rPr>
              <w:t xml:space="preserve"> </w:t>
            </w:r>
            <w:r w:rsidRPr="006D2D4B">
              <w:rPr>
                <w:rFonts w:hint="eastAsia"/>
                <w:rtl/>
              </w:rPr>
              <w:t>לפי</w:t>
            </w:r>
            <w:r w:rsidRPr="006D2D4B">
              <w:rPr>
                <w:rtl/>
              </w:rPr>
              <w:t xml:space="preserve"> </w:t>
            </w:r>
            <w:r w:rsidRPr="006D2D4B">
              <w:rPr>
                <w:rFonts w:hint="eastAsia"/>
                <w:rtl/>
              </w:rPr>
              <w:t>צו</w:t>
            </w:r>
            <w:r w:rsidRPr="006D2D4B">
              <w:rPr>
                <w:rtl/>
              </w:rPr>
              <w:t xml:space="preserve"> </w:t>
            </w:r>
            <w:r w:rsidRPr="006D2D4B">
              <w:rPr>
                <w:rFonts w:hint="eastAsia"/>
                <w:rtl/>
              </w:rPr>
              <w:t>הפיקוח</w:t>
            </w:r>
            <w:r>
              <w:rPr>
                <w:rFonts w:hint="cs"/>
                <w:rtl/>
              </w:rPr>
              <w:t xml:space="preserve"> על מצרכים ושירותים (ייצור דבש ומכירתו), התשל"ז</w:t>
            </w:r>
            <w:r>
              <w:rPr>
                <w:rFonts w:hint="eastAsia"/>
                <w:rtl/>
              </w:rPr>
              <w:t>–1977</w:t>
            </w:r>
            <w:r>
              <w:rPr>
                <w:rStyle w:val="a6"/>
                <w:rtl/>
              </w:rPr>
              <w:footnoteReference w:id="15"/>
            </w:r>
            <w:r w:rsidRPr="006D2D4B">
              <w:rPr>
                <w:rtl/>
              </w:rPr>
              <w:t xml:space="preserve"> </w:t>
            </w:r>
            <w:r>
              <w:rPr>
                <w:rFonts w:hint="cs"/>
                <w:rtl/>
              </w:rPr>
              <w:t xml:space="preserve">(להלן </w:t>
            </w:r>
            <w:r>
              <w:rPr>
                <w:rFonts w:hint="eastAsia"/>
                <w:rtl/>
              </w:rPr>
              <w:t>– צו הפיקוח</w:t>
            </w:r>
            <w:r>
              <w:rPr>
                <w:rFonts w:hint="cs"/>
                <w:rtl/>
              </w:rPr>
              <w:t xml:space="preserve">) </w:t>
            </w:r>
            <w:r w:rsidRPr="006D2D4B">
              <w:rPr>
                <w:rFonts w:hint="eastAsia"/>
                <w:rtl/>
              </w:rPr>
              <w:t>עד</w:t>
            </w:r>
            <w:r w:rsidRPr="006D2D4B">
              <w:rPr>
                <w:rtl/>
              </w:rPr>
              <w:t xml:space="preserve"> </w:t>
            </w:r>
            <w:r w:rsidRPr="006D2D4B">
              <w:rPr>
                <w:rFonts w:hint="eastAsia"/>
                <w:rtl/>
              </w:rPr>
              <w:t>יום</w:t>
            </w:r>
            <w:r w:rsidRPr="006D2D4B">
              <w:rPr>
                <w:rtl/>
              </w:rPr>
              <w:t xml:space="preserve"> </w:t>
            </w:r>
            <w:r w:rsidRPr="006D2D4B">
              <w:rPr>
                <w:rFonts w:hint="eastAsia"/>
                <w:rtl/>
              </w:rPr>
              <w:t>התחילה</w:t>
            </w:r>
            <w:r w:rsidRPr="006D2D4B">
              <w:rPr>
                <w:rtl/>
              </w:rPr>
              <w:t xml:space="preserve"> </w:t>
            </w:r>
            <w:r w:rsidRPr="006D2D4B">
              <w:rPr>
                <w:rFonts w:hint="eastAsia"/>
                <w:rtl/>
              </w:rPr>
              <w:t>יעמדו</w:t>
            </w:r>
            <w:r w:rsidRPr="006D2D4B">
              <w:rPr>
                <w:rtl/>
              </w:rPr>
              <w:t xml:space="preserve"> </w:t>
            </w:r>
            <w:r w:rsidRPr="006D2D4B">
              <w:rPr>
                <w:rFonts w:hint="eastAsia"/>
                <w:rtl/>
              </w:rPr>
              <w:t>בתוקפם</w:t>
            </w:r>
            <w:r w:rsidRPr="006D2D4B">
              <w:rPr>
                <w:rtl/>
              </w:rPr>
              <w:t xml:space="preserve"> </w:t>
            </w:r>
            <w:r w:rsidRPr="006D2D4B">
              <w:rPr>
                <w:rFonts w:hint="eastAsia"/>
                <w:rtl/>
              </w:rPr>
              <w:t>עד</w:t>
            </w:r>
            <w:r w:rsidRPr="006D2D4B">
              <w:rPr>
                <w:rtl/>
              </w:rPr>
              <w:t xml:space="preserve"> </w:t>
            </w:r>
            <w:r w:rsidRPr="006D2D4B">
              <w:rPr>
                <w:rFonts w:hint="eastAsia"/>
                <w:rtl/>
              </w:rPr>
              <w:t>למועד</w:t>
            </w:r>
            <w:r w:rsidRPr="006D2D4B">
              <w:rPr>
                <w:rtl/>
              </w:rPr>
              <w:t xml:space="preserve"> </w:t>
            </w:r>
            <w:r w:rsidRPr="006D2D4B">
              <w:rPr>
                <w:rFonts w:hint="eastAsia"/>
                <w:rtl/>
              </w:rPr>
              <w:t>שנקבע</w:t>
            </w:r>
            <w:r w:rsidRPr="006D2D4B">
              <w:rPr>
                <w:rtl/>
              </w:rPr>
              <w:t xml:space="preserve"> </w:t>
            </w:r>
            <w:r w:rsidRPr="006D2D4B">
              <w:rPr>
                <w:rFonts w:hint="eastAsia"/>
                <w:rtl/>
              </w:rPr>
              <w:t>בהם</w:t>
            </w:r>
            <w:r w:rsidRPr="006D2D4B">
              <w:rPr>
                <w:rtl/>
              </w:rPr>
              <w:t xml:space="preserve">, </w:t>
            </w:r>
            <w:r w:rsidRPr="006D2D4B">
              <w:rPr>
                <w:rFonts w:hint="eastAsia"/>
                <w:rtl/>
              </w:rPr>
              <w:t>ויראו</w:t>
            </w:r>
            <w:r w:rsidRPr="006D2D4B">
              <w:rPr>
                <w:rtl/>
              </w:rPr>
              <w:t xml:space="preserve"> </w:t>
            </w:r>
            <w:r w:rsidRPr="006D2D4B">
              <w:rPr>
                <w:rFonts w:hint="eastAsia"/>
                <w:rtl/>
              </w:rPr>
              <w:t>את</w:t>
            </w:r>
            <w:r w:rsidRPr="006D2D4B">
              <w:rPr>
                <w:rtl/>
              </w:rPr>
              <w:t xml:space="preserve"> </w:t>
            </w:r>
            <w:r w:rsidRPr="006D2D4B">
              <w:rPr>
                <w:rFonts w:hint="eastAsia"/>
                <w:rtl/>
              </w:rPr>
              <w:t>מי</w:t>
            </w:r>
            <w:r w:rsidRPr="006D2D4B">
              <w:rPr>
                <w:rtl/>
              </w:rPr>
              <w:t xml:space="preserve"> </w:t>
            </w:r>
            <w:r w:rsidRPr="006D2D4B">
              <w:rPr>
                <w:rFonts w:hint="eastAsia"/>
                <w:rtl/>
              </w:rPr>
              <w:t>שניתן</w:t>
            </w:r>
            <w:r w:rsidRPr="006D2D4B">
              <w:rPr>
                <w:rtl/>
              </w:rPr>
              <w:t xml:space="preserve"> </w:t>
            </w:r>
            <w:r w:rsidRPr="006D2D4B">
              <w:rPr>
                <w:rFonts w:hint="eastAsia"/>
                <w:rtl/>
              </w:rPr>
              <w:t>לו</w:t>
            </w:r>
            <w:r w:rsidRPr="006D2D4B">
              <w:rPr>
                <w:rtl/>
              </w:rPr>
              <w:t xml:space="preserve"> </w:t>
            </w:r>
            <w:r w:rsidRPr="006D2D4B">
              <w:rPr>
                <w:rFonts w:hint="eastAsia"/>
                <w:rtl/>
              </w:rPr>
              <w:t>היתר</w:t>
            </w:r>
            <w:r w:rsidRPr="006D2D4B">
              <w:rPr>
                <w:rtl/>
              </w:rPr>
              <w:t xml:space="preserve"> </w:t>
            </w:r>
            <w:r w:rsidRPr="006D2D4B">
              <w:rPr>
                <w:rFonts w:hint="eastAsia"/>
                <w:rtl/>
              </w:rPr>
              <w:t>כאמור</w:t>
            </w:r>
            <w:r w:rsidRPr="006D2D4B">
              <w:rPr>
                <w:rtl/>
              </w:rPr>
              <w:t xml:space="preserve"> </w:t>
            </w:r>
            <w:r w:rsidRPr="006D2D4B">
              <w:rPr>
                <w:rFonts w:hint="eastAsia"/>
                <w:rtl/>
              </w:rPr>
              <w:t>כמי</w:t>
            </w:r>
            <w:r w:rsidRPr="006D2D4B">
              <w:rPr>
                <w:rtl/>
              </w:rPr>
              <w:t xml:space="preserve"> </w:t>
            </w:r>
            <w:r w:rsidRPr="006D2D4B">
              <w:rPr>
                <w:rFonts w:hint="eastAsia"/>
                <w:rtl/>
              </w:rPr>
              <w:t>שניתן</w:t>
            </w:r>
            <w:r w:rsidRPr="006D2D4B">
              <w:rPr>
                <w:rtl/>
              </w:rPr>
              <w:t xml:space="preserve"> </w:t>
            </w:r>
            <w:r w:rsidRPr="006D2D4B">
              <w:rPr>
                <w:rFonts w:hint="eastAsia"/>
                <w:rtl/>
              </w:rPr>
              <w:t>לו</w:t>
            </w:r>
            <w:r w:rsidRPr="006D2D4B">
              <w:rPr>
                <w:rtl/>
              </w:rPr>
              <w:t xml:space="preserve"> </w:t>
            </w:r>
            <w:r w:rsidRPr="006D2D4B">
              <w:rPr>
                <w:rFonts w:hint="eastAsia"/>
                <w:rtl/>
              </w:rPr>
              <w:t>היתר</w:t>
            </w:r>
            <w:r w:rsidRPr="006D2D4B">
              <w:rPr>
                <w:rtl/>
              </w:rPr>
              <w:t xml:space="preserve"> </w:t>
            </w:r>
            <w:r w:rsidRPr="006D2D4B">
              <w:rPr>
                <w:rFonts w:hint="eastAsia"/>
                <w:rtl/>
              </w:rPr>
              <w:t>לפי</w:t>
            </w:r>
            <w:r w:rsidRPr="006D2D4B">
              <w:rPr>
                <w:rtl/>
              </w:rPr>
              <w:t xml:space="preserve"> </w:t>
            </w:r>
            <w:r w:rsidRPr="006D2D4B">
              <w:rPr>
                <w:rFonts w:hint="eastAsia"/>
                <w:rtl/>
              </w:rPr>
              <w:t>חוק</w:t>
            </w:r>
            <w:r w:rsidRPr="006D2D4B">
              <w:rPr>
                <w:rtl/>
              </w:rPr>
              <w:t xml:space="preserve"> </w:t>
            </w:r>
            <w:r w:rsidRPr="006D2D4B">
              <w:rPr>
                <w:rFonts w:hint="eastAsia"/>
                <w:rtl/>
              </w:rPr>
              <w:t>זה</w:t>
            </w:r>
            <w:r>
              <w:rPr>
                <w:rFonts w:hint="cs"/>
                <w:rtl/>
              </w:rPr>
              <w:t>.</w:t>
            </w:r>
          </w:p>
        </w:tc>
      </w:tr>
      <w:tr w:rsidR="001A7C31" w:rsidRPr="00C84526" w:rsidTr="00AB5ACE">
        <w:trPr>
          <w:cantSplit/>
          <w:trHeight w:val="60"/>
        </w:trPr>
        <w:tc>
          <w:tcPr>
            <w:tcW w:w="1871" w:type="dxa"/>
          </w:tcPr>
          <w:p w:rsidR="001A7C31" w:rsidRPr="00C84526" w:rsidRDefault="001A7C31" w:rsidP="001A7C3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1A7C3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24" w:type="dxa"/>
          </w:tcPr>
          <w:p w:rsidR="001A7C31" w:rsidRPr="00C84526" w:rsidRDefault="001A7C31" w:rsidP="001A7C3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2" w:type="dxa"/>
            <w:gridSpan w:val="2"/>
          </w:tcPr>
          <w:p w:rsidR="001A7C31" w:rsidRPr="006D2D4B" w:rsidRDefault="001A7C31" w:rsidP="001A7C3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6D2D4B">
              <w:rPr>
                <w:rFonts w:ascii="Arial" w:eastAsia="Arial Unicode MS" w:hAnsi="Arial" w:cs="David"/>
                <w:snapToGrid w:val="0"/>
                <w:spacing w:val="0"/>
                <w:sz w:val="20"/>
                <w:szCs w:val="26"/>
                <w:rtl/>
              </w:rPr>
              <w:t>(2)</w:t>
            </w:r>
            <w:r w:rsidRPr="006D2D4B">
              <w:rPr>
                <w:rFonts w:ascii="Arial" w:eastAsia="Arial Unicode MS" w:hAnsi="Arial" w:cs="David"/>
                <w:snapToGrid w:val="0"/>
                <w:spacing w:val="0"/>
                <w:sz w:val="20"/>
                <w:szCs w:val="26"/>
                <w:rtl/>
              </w:rPr>
              <w:tab/>
            </w:r>
            <w:r w:rsidRPr="006D2D4B">
              <w:rPr>
                <w:rFonts w:ascii="Arial" w:eastAsia="Arial Unicode MS" w:hAnsi="Arial" w:cs="David" w:hint="eastAsia"/>
                <w:snapToGrid w:val="0"/>
                <w:spacing w:val="0"/>
                <w:sz w:val="20"/>
                <w:szCs w:val="26"/>
                <w:rtl/>
              </w:rPr>
              <w:t>הרשות</w:t>
            </w:r>
            <w:r w:rsidRPr="006D2D4B">
              <w:rPr>
                <w:rFonts w:ascii="Arial" w:eastAsia="Arial Unicode MS" w:hAnsi="Arial" w:cs="David"/>
                <w:snapToGrid w:val="0"/>
                <w:spacing w:val="0"/>
                <w:sz w:val="20"/>
                <w:szCs w:val="26"/>
                <w:rtl/>
              </w:rPr>
              <w:t xml:space="preserve"> המבצעת לפי צו הפיקוח ועובדיה, יעבירו למשרד </w:t>
            </w:r>
            <w:r w:rsidRPr="006D2D4B">
              <w:rPr>
                <w:rFonts w:ascii="Arial" w:eastAsia="Arial Unicode MS" w:hAnsi="Arial" w:cs="David" w:hint="eastAsia"/>
                <w:snapToGrid w:val="0"/>
                <w:spacing w:val="0"/>
                <w:sz w:val="20"/>
                <w:szCs w:val="26"/>
                <w:rtl/>
              </w:rPr>
              <w:t>כל</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מידע</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או</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אמצעי</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אחר</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הנדרשים</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לצורך</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פעילותה</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של</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הוועדה</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בהתאם</w:t>
            </w:r>
            <w:r w:rsidRPr="006D2D4B">
              <w:rPr>
                <w:rFonts w:ascii="Arial" w:eastAsia="Arial Unicode MS" w:hAnsi="Arial" w:cs="David"/>
                <w:snapToGrid w:val="0"/>
                <w:spacing w:val="0"/>
                <w:sz w:val="20"/>
                <w:szCs w:val="26"/>
                <w:rtl/>
              </w:rPr>
              <w:t xml:space="preserve"> </w:t>
            </w:r>
            <w:r w:rsidRPr="006D2D4B">
              <w:rPr>
                <w:rFonts w:ascii="Arial" w:eastAsia="Arial Unicode MS" w:hAnsi="Arial" w:cs="David" w:hint="eastAsia"/>
                <w:snapToGrid w:val="0"/>
                <w:spacing w:val="0"/>
                <w:sz w:val="20"/>
                <w:szCs w:val="26"/>
                <w:rtl/>
              </w:rPr>
              <w:t>לדרישתה</w:t>
            </w:r>
            <w:r w:rsidRPr="006D2D4B">
              <w:rPr>
                <w:rFonts w:ascii="Arial" w:eastAsia="Arial Unicode MS" w:hAnsi="Arial" w:cs="David"/>
                <w:snapToGrid w:val="0"/>
                <w:spacing w:val="0"/>
                <w:sz w:val="20"/>
                <w:szCs w:val="26"/>
                <w:rtl/>
              </w:rPr>
              <w:t>.</w:t>
            </w:r>
          </w:p>
        </w:tc>
      </w:tr>
      <w:tr w:rsidR="001A7C31" w:rsidRPr="00C84526" w:rsidTr="00AB5ACE">
        <w:trPr>
          <w:cantSplit/>
          <w:trHeight w:val="60"/>
        </w:trPr>
        <w:tc>
          <w:tcPr>
            <w:tcW w:w="1871" w:type="dxa"/>
          </w:tcPr>
          <w:p w:rsidR="001A7C31" w:rsidRPr="00C84526" w:rsidRDefault="001A7C31" w:rsidP="001A7C31">
            <w:pPr>
              <w:keepLines/>
              <w:tabs>
                <w:tab w:val="left" w:pos="624"/>
                <w:tab w:val="left" w:pos="1247"/>
              </w:tabs>
              <w:snapToGrid w:val="0"/>
              <w:spacing w:before="0" w:line="360" w:lineRule="auto"/>
              <w:ind w:firstLine="0"/>
              <w:jc w:val="left"/>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הוראות מעבר לעניין זכויות במקרקעין</w:t>
            </w:r>
          </w:p>
        </w:tc>
        <w:tc>
          <w:tcPr>
            <w:tcW w:w="624" w:type="dxa"/>
          </w:tcPr>
          <w:p w:rsidR="001A7C31" w:rsidRPr="00C84526" w:rsidRDefault="001A7C31" w:rsidP="001A7C3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28</w:t>
            </w:r>
            <w:r w:rsidRPr="00C84526">
              <w:rPr>
                <w:rFonts w:ascii="Arial" w:eastAsia="Arial Unicode MS" w:hAnsi="Arial" w:cs="David" w:hint="cs"/>
                <w:snapToGrid w:val="0"/>
                <w:spacing w:val="0"/>
                <w:sz w:val="20"/>
                <w:szCs w:val="26"/>
                <w:rtl/>
              </w:rPr>
              <w:t xml:space="preserve">. </w:t>
            </w:r>
          </w:p>
        </w:tc>
        <w:tc>
          <w:tcPr>
            <w:tcW w:w="7146" w:type="dxa"/>
            <w:gridSpan w:val="3"/>
          </w:tcPr>
          <w:p w:rsidR="001A7C31" w:rsidRPr="00C84526" w:rsidRDefault="001A7C31" w:rsidP="001A7C3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C84526">
              <w:rPr>
                <w:rFonts w:ascii="Arial" w:eastAsia="Arial Unicode MS" w:hAnsi="Arial" w:cs="David" w:hint="cs"/>
                <w:snapToGrid w:val="0"/>
                <w:spacing w:val="0"/>
                <w:sz w:val="20"/>
                <w:szCs w:val="26"/>
                <w:rtl/>
              </w:rPr>
              <w:t>על אף</w:t>
            </w:r>
            <w:r w:rsidRPr="00C84526">
              <w:rPr>
                <w:rFonts w:ascii="Arial" w:eastAsia="Arial Unicode MS" w:hAnsi="Arial" w:cs="David"/>
                <w:snapToGrid w:val="0"/>
                <w:spacing w:val="0"/>
                <w:sz w:val="20"/>
                <w:szCs w:val="26"/>
              </w:rPr>
              <w:t xml:space="preserve"> </w:t>
            </w:r>
            <w:r w:rsidRPr="00C84526">
              <w:rPr>
                <w:rFonts w:ascii="Arial" w:eastAsia="Arial Unicode MS" w:hAnsi="Arial" w:cs="David" w:hint="cs"/>
                <w:snapToGrid w:val="0"/>
                <w:spacing w:val="0"/>
                <w:sz w:val="20"/>
                <w:szCs w:val="26"/>
                <w:rtl/>
              </w:rPr>
              <w:t>האמור</w:t>
            </w:r>
            <w:r w:rsidRPr="00C84526">
              <w:rPr>
                <w:rFonts w:ascii="Arial" w:eastAsia="Arial Unicode MS" w:hAnsi="Arial" w:cs="David"/>
                <w:snapToGrid w:val="0"/>
                <w:spacing w:val="0"/>
                <w:sz w:val="20"/>
                <w:szCs w:val="26"/>
              </w:rPr>
              <w:t xml:space="preserve"> </w:t>
            </w:r>
            <w:r w:rsidRPr="00C84526">
              <w:rPr>
                <w:rFonts w:ascii="Arial" w:eastAsia="Arial Unicode MS" w:hAnsi="Arial" w:cs="David" w:hint="cs"/>
                <w:snapToGrid w:val="0"/>
                <w:spacing w:val="0"/>
                <w:sz w:val="20"/>
                <w:szCs w:val="26"/>
                <w:rtl/>
              </w:rPr>
              <w:t>בסעיפים 4</w:t>
            </w:r>
            <w:r>
              <w:rPr>
                <w:rFonts w:ascii="Arial" w:eastAsia="Arial Unicode MS" w:hAnsi="Arial" w:cs="David" w:hint="cs"/>
                <w:snapToGrid w:val="0"/>
                <w:spacing w:val="0"/>
                <w:sz w:val="20"/>
                <w:szCs w:val="26"/>
                <w:rtl/>
              </w:rPr>
              <w:t xml:space="preserve"> </w:t>
            </w:r>
            <w:r w:rsidRPr="00C84526">
              <w:rPr>
                <w:rFonts w:ascii="Arial" w:eastAsia="Arial Unicode MS" w:hAnsi="Arial" w:cs="David" w:hint="cs"/>
                <w:snapToGrid w:val="0"/>
                <w:spacing w:val="0"/>
                <w:sz w:val="20"/>
                <w:szCs w:val="26"/>
                <w:rtl/>
              </w:rPr>
              <w:t>ו-</w:t>
            </w:r>
            <w:r>
              <w:rPr>
                <w:rFonts w:ascii="Arial" w:eastAsia="Arial Unicode MS" w:hAnsi="Arial" w:cs="David" w:hint="cs"/>
                <w:snapToGrid w:val="0"/>
                <w:spacing w:val="0"/>
                <w:sz w:val="20"/>
                <w:szCs w:val="26"/>
                <w:rtl/>
              </w:rPr>
              <w:t>8</w:t>
            </w:r>
            <w:r w:rsidRPr="00C84526">
              <w:rPr>
                <w:rFonts w:ascii="Arial" w:eastAsia="Arial Unicode MS" w:hAnsi="Arial" w:cs="David" w:hint="cs"/>
                <w:snapToGrid w:val="0"/>
                <w:spacing w:val="0"/>
                <w:sz w:val="20"/>
                <w:szCs w:val="26"/>
                <w:rtl/>
              </w:rPr>
              <w:t>(א)</w:t>
            </w:r>
            <w:r>
              <w:rPr>
                <w:rFonts w:ascii="Arial" w:eastAsia="Arial Unicode MS" w:hAnsi="Arial" w:cs="David" w:hint="cs"/>
                <w:snapToGrid w:val="0"/>
                <w:spacing w:val="0"/>
                <w:sz w:val="20"/>
                <w:szCs w:val="26"/>
                <w:rtl/>
              </w:rPr>
              <w:t xml:space="preserve">, </w:t>
            </w:r>
            <w:r w:rsidRPr="00C84526">
              <w:rPr>
                <w:rFonts w:ascii="Arial" w:eastAsia="Arial Unicode MS" w:hAnsi="Arial" w:cs="David" w:hint="cs"/>
                <w:snapToGrid w:val="0"/>
                <w:spacing w:val="0"/>
                <w:sz w:val="20"/>
                <w:szCs w:val="26"/>
                <w:rtl/>
              </w:rPr>
              <w:t>בתקופה שעד תום 3 שנים מיום תחילתו של חוק זה,</w:t>
            </w:r>
            <w:r w:rsidRPr="00C84526">
              <w:rPr>
                <w:rFonts w:ascii="Arial" w:eastAsia="Arial Unicode MS" w:hAnsi="Arial" w:cs="David"/>
                <w:snapToGrid w:val="0"/>
                <w:spacing w:val="0"/>
                <w:sz w:val="20"/>
                <w:szCs w:val="26"/>
              </w:rPr>
              <w:t xml:space="preserve"> </w:t>
            </w:r>
            <w:r w:rsidRPr="00C84526">
              <w:rPr>
                <w:rFonts w:ascii="Arial" w:eastAsia="Arial Unicode MS" w:hAnsi="Arial" w:cs="David" w:hint="cs"/>
                <w:snapToGrid w:val="0"/>
                <w:spacing w:val="0"/>
                <w:sz w:val="20"/>
                <w:szCs w:val="26"/>
                <w:rtl/>
              </w:rPr>
              <w:t>יהיה</w:t>
            </w:r>
            <w:r w:rsidRPr="00C84526">
              <w:rPr>
                <w:rFonts w:ascii="Arial" w:eastAsia="Arial Unicode MS" w:hAnsi="Arial" w:cs="David"/>
                <w:snapToGrid w:val="0"/>
                <w:spacing w:val="0"/>
                <w:sz w:val="20"/>
                <w:szCs w:val="26"/>
              </w:rPr>
              <w:t xml:space="preserve"> </w:t>
            </w:r>
            <w:r w:rsidRPr="00C84526">
              <w:rPr>
                <w:rFonts w:ascii="Arial" w:eastAsia="Arial Unicode MS" w:hAnsi="Arial" w:cs="David" w:hint="cs"/>
                <w:snapToGrid w:val="0"/>
                <w:spacing w:val="0"/>
                <w:sz w:val="20"/>
                <w:szCs w:val="26"/>
                <w:rtl/>
              </w:rPr>
              <w:t>רשאי</w:t>
            </w:r>
            <w:r w:rsidRPr="00C84526">
              <w:rPr>
                <w:rFonts w:ascii="Arial" w:eastAsia="Arial Unicode MS" w:hAnsi="Arial" w:cs="David"/>
                <w:snapToGrid w:val="0"/>
                <w:spacing w:val="0"/>
                <w:sz w:val="20"/>
                <w:szCs w:val="26"/>
              </w:rPr>
              <w:t xml:space="preserve"> </w:t>
            </w:r>
            <w:r w:rsidRPr="00C84526">
              <w:rPr>
                <w:rFonts w:ascii="Arial" w:eastAsia="Arial Unicode MS" w:hAnsi="Arial" w:cs="David" w:hint="cs"/>
                <w:snapToGrid w:val="0"/>
                <w:spacing w:val="0"/>
                <w:sz w:val="20"/>
                <w:szCs w:val="26"/>
                <w:rtl/>
              </w:rPr>
              <w:t>אדם</w:t>
            </w:r>
            <w:r w:rsidRPr="00C84526">
              <w:rPr>
                <w:rFonts w:ascii="Arial" w:eastAsia="Arial Unicode MS" w:hAnsi="Arial" w:cs="David"/>
                <w:snapToGrid w:val="0"/>
                <w:spacing w:val="0"/>
                <w:sz w:val="20"/>
                <w:szCs w:val="26"/>
              </w:rPr>
              <w:t xml:space="preserve"> </w:t>
            </w:r>
            <w:r w:rsidRPr="00C84526">
              <w:rPr>
                <w:rFonts w:ascii="Arial" w:eastAsia="Arial Unicode MS" w:hAnsi="Arial" w:cs="David" w:hint="cs"/>
                <w:snapToGrid w:val="0"/>
                <w:spacing w:val="0"/>
                <w:sz w:val="20"/>
                <w:szCs w:val="26"/>
                <w:rtl/>
              </w:rPr>
              <w:t xml:space="preserve">להציב כוורות מאוכלסות בהתאם להיתר לפי חוק זה, אם הוכיח, להנחת דעתה של ועדת ההיתרים, כי הכוורות המאוכלסות הוצבו באותו מקום לפי היתר כדין במשך תקופה של עשר שנים לפחות, אף אם לא הוצבו במקום </w:t>
            </w:r>
            <w:r>
              <w:rPr>
                <w:rFonts w:ascii="Arial" w:eastAsia="Arial Unicode MS" w:hAnsi="Arial" w:cs="David" w:hint="cs"/>
                <w:snapToGrid w:val="0"/>
                <w:spacing w:val="0"/>
                <w:sz w:val="20"/>
                <w:szCs w:val="26"/>
                <w:rtl/>
              </w:rPr>
              <w:t>לאורך כל ימות השנה בכל שנה</w:t>
            </w:r>
            <w:r w:rsidRPr="00C84526">
              <w:rPr>
                <w:rFonts w:ascii="Arial" w:eastAsia="Arial Unicode MS" w:hAnsi="Arial" w:cs="David" w:hint="cs"/>
                <w:snapToGrid w:val="0"/>
                <w:spacing w:val="0"/>
                <w:sz w:val="20"/>
                <w:szCs w:val="26"/>
                <w:rtl/>
              </w:rPr>
              <w:t>.</w:t>
            </w:r>
          </w:p>
        </w:tc>
      </w:tr>
    </w:tbl>
    <w:p w:rsidR="00805363" w:rsidRPr="00805363" w:rsidRDefault="00805363" w:rsidP="00805363">
      <w:pPr>
        <w:pStyle w:val="HeadDivreiHesber"/>
        <w:rPr>
          <w:sz w:val="24"/>
          <w:szCs w:val="24"/>
          <w:rtl/>
        </w:rPr>
      </w:pPr>
      <w:r w:rsidRPr="00493E91">
        <w:rPr>
          <w:rFonts w:hint="cs"/>
          <w:sz w:val="24"/>
          <w:szCs w:val="24"/>
          <w:rtl/>
        </w:rPr>
        <w:t>דברי הסבר</w:t>
      </w:r>
    </w:p>
    <w:p w:rsidR="003604B2" w:rsidRPr="00805363" w:rsidRDefault="003604B2" w:rsidP="001A7C31">
      <w:pPr>
        <w:pStyle w:val="Hesber"/>
        <w:rPr>
          <w:rtl/>
        </w:rPr>
      </w:pPr>
      <w:r>
        <w:rPr>
          <w:rFonts w:hint="cs"/>
          <w:rtl/>
        </w:rPr>
        <w:t>ביום 12.3.2014 פורסמה מטעם הממשלה הצעת חוק להסדרת הצבה של כוורות וייצור דבש, התשע"ד</w:t>
      </w:r>
      <w:r>
        <w:rPr>
          <w:rFonts w:hint="eastAsia"/>
          <w:rtl/>
        </w:rPr>
        <w:t xml:space="preserve">–2014 </w:t>
      </w:r>
      <w:r w:rsidR="001A7C31">
        <w:rPr>
          <w:rFonts w:hint="cs"/>
          <w:rtl/>
        </w:rPr>
        <w:t xml:space="preserve">(הצ"ח </w:t>
      </w:r>
      <w:r>
        <w:rPr>
          <w:rFonts w:hint="cs"/>
          <w:rtl/>
        </w:rPr>
        <w:t>מ</w:t>
      </w:r>
      <w:r w:rsidR="001A7C31">
        <w:rPr>
          <w:rFonts w:hint="cs"/>
          <w:rtl/>
        </w:rPr>
        <w:t>-</w:t>
      </w:r>
      <w:r>
        <w:rPr>
          <w:rFonts w:hint="cs"/>
          <w:rtl/>
        </w:rPr>
        <w:t xml:space="preserve">859) (להלן </w:t>
      </w:r>
      <w:r>
        <w:rPr>
          <w:rFonts w:hint="eastAsia"/>
          <w:rtl/>
        </w:rPr>
        <w:t>– הצעת החוק הממשלתית</w:t>
      </w:r>
      <w:r>
        <w:rPr>
          <w:rFonts w:hint="cs"/>
          <w:rtl/>
        </w:rPr>
        <w:t>). ב</w:t>
      </w:r>
      <w:r w:rsidRPr="00805363">
        <w:rPr>
          <w:rtl/>
        </w:rPr>
        <w:t>הצעת החוק</w:t>
      </w:r>
      <w:r>
        <w:rPr>
          <w:rFonts w:hint="cs"/>
          <w:rtl/>
        </w:rPr>
        <w:t xml:space="preserve"> הממשלתית</w:t>
      </w:r>
      <w:r w:rsidRPr="00805363">
        <w:rPr>
          <w:rtl/>
        </w:rPr>
        <w:t xml:space="preserve"> </w:t>
      </w:r>
      <w:r>
        <w:rPr>
          <w:rFonts w:hint="cs"/>
          <w:rtl/>
        </w:rPr>
        <w:t>מוצע</w:t>
      </w:r>
      <w:r w:rsidRPr="00805363">
        <w:rPr>
          <w:rtl/>
        </w:rPr>
        <w:t xml:space="preserve"> להשאיר את מנגנון קביעת נקודות הרעייה והקצאת היתרי הרעייה שקיים עד כה</w:t>
      </w:r>
      <w:r>
        <w:rPr>
          <w:rFonts w:hint="cs"/>
          <w:rtl/>
        </w:rPr>
        <w:t>,</w:t>
      </w:r>
      <w:r w:rsidRPr="00805363">
        <w:rPr>
          <w:rtl/>
        </w:rPr>
        <w:t xml:space="preserve"> אגב שינויים חשובים אחדים: העברת הסמכות למתן ההיתרים לוועדה של משרד החקלאות</w:t>
      </w:r>
      <w:r>
        <w:rPr>
          <w:rFonts w:hint="cs"/>
          <w:rtl/>
        </w:rPr>
        <w:t xml:space="preserve"> ופיתוח הכפר</w:t>
      </w:r>
      <w:r w:rsidRPr="00805363">
        <w:rPr>
          <w:rtl/>
        </w:rPr>
        <w:t xml:space="preserve">; הגברת השקיפות והשוויון בהקצאת ההיתרים; עידוד כניסת דבוראים חדשים; והוצאת מקרקעין שבבעלות פרטית ממנגנון ההיתרים. </w:t>
      </w:r>
    </w:p>
    <w:p w:rsidR="003604B2" w:rsidRPr="00805363" w:rsidRDefault="003604B2" w:rsidP="003604B2">
      <w:pPr>
        <w:pStyle w:val="Hesber"/>
        <w:rPr>
          <w:rtl/>
        </w:rPr>
      </w:pPr>
      <w:r w:rsidRPr="00805363">
        <w:rPr>
          <w:rtl/>
        </w:rPr>
        <w:t>ל</w:t>
      </w:r>
      <w:r w:rsidR="001A7C31">
        <w:rPr>
          <w:rFonts w:hint="cs"/>
          <w:rtl/>
        </w:rPr>
        <w:t>פי הצעת חוק זו</w:t>
      </w:r>
      <w:r>
        <w:rPr>
          <w:rFonts w:hint="cs"/>
          <w:rtl/>
        </w:rPr>
        <w:t xml:space="preserve">, </w:t>
      </w:r>
      <w:r w:rsidRPr="00805363">
        <w:rPr>
          <w:rtl/>
        </w:rPr>
        <w:t xml:space="preserve">יש אכן מקום להסדיר את חלוקת הצוף הגדל במקרקעי ציבור, ככל חלוקת משאב ציבורי. עם זאת, יש לראות כ'מקרקעי ציבור' לעניין זה אך ורק שטחים שאינם מוחזקים על ידי אדם המעבד אותם עיבוד חקלאי ומצמיח בהם גידולים. בכל קרקע הנתונה לעיבוד חקלאי פרטי יש לאפשר גידול דבורים חופשי, ואין הצדקה להבחנה בין מקרקעין שבבעלות פרטית </w:t>
      </w:r>
      <w:r>
        <w:rPr>
          <w:rFonts w:hint="cs"/>
          <w:rtl/>
        </w:rPr>
        <w:t xml:space="preserve">ובין </w:t>
      </w:r>
      <w:r w:rsidRPr="00805363">
        <w:rPr>
          <w:rtl/>
        </w:rPr>
        <w:t>מקרקעי ציבור שהוקצו למחזיקים פרטיים למגורים או לעיבוד חקלאי בחוזי שכירות או חכירה.</w:t>
      </w:r>
    </w:p>
    <w:p w:rsidR="003604B2" w:rsidRPr="00805363" w:rsidRDefault="003604B2" w:rsidP="003604B2">
      <w:pPr>
        <w:pStyle w:val="Hesber"/>
        <w:rPr>
          <w:rtl/>
        </w:rPr>
      </w:pPr>
      <w:r w:rsidRPr="00805363">
        <w:rPr>
          <w:rtl/>
        </w:rPr>
        <w:t>יש לזכור כי המדינה מקדמת, באופן כללי, את השוואת מעמדן של קרקעות מוחכרות למעמדן של קרקעות פרטיות, והדבר בא לידי ביטוי גם בפסיקת בתי המשפט. בנוסף, חלוקת משאב הצוף שהופק על ידי עיבוד חקלאי פרטי על ידי המדינה נוגדת עקרונות של קניין, חופש עיסוק ותחרות חופשית. משטר חלוקת ההיתרים לשימוש במשאב הצוף הוא ייחודי למדינת ישראל, ואינו נהוג גם במדינות צפופות ברחבי העולם.</w:t>
      </w:r>
    </w:p>
    <w:p w:rsidR="003604B2" w:rsidRPr="00805363" w:rsidRDefault="003604B2" w:rsidP="003604B2">
      <w:pPr>
        <w:pStyle w:val="Hesber"/>
        <w:rPr>
          <w:rtl/>
        </w:rPr>
      </w:pPr>
      <w:r w:rsidRPr="00805363">
        <w:rPr>
          <w:rtl/>
        </w:rPr>
        <w:t xml:space="preserve"> </w:t>
      </w:r>
      <w:r>
        <w:rPr>
          <w:rFonts w:hint="cs"/>
          <w:rtl/>
        </w:rPr>
        <w:t>בהצעת חוק זו מוצע</w:t>
      </w:r>
      <w:r w:rsidRPr="00805363">
        <w:rPr>
          <w:rtl/>
        </w:rPr>
        <w:t xml:space="preserve"> אפוא לקבוע כי "מקרקעי ציבור" יוגדרו כמקרקעין שלא הוקצו לאדם לשם מגורים או </w:t>
      </w:r>
      <w:r>
        <w:rPr>
          <w:rFonts w:hint="cs"/>
          <w:rtl/>
        </w:rPr>
        <w:t>ל</w:t>
      </w:r>
      <w:r w:rsidRPr="00805363">
        <w:rPr>
          <w:rtl/>
        </w:rPr>
        <w:t>עיבוד חקלאי בחכירה או שכירות, ורק לגביהם יחול</w:t>
      </w:r>
      <w:r>
        <w:rPr>
          <w:rFonts w:hint="cs"/>
          <w:rtl/>
        </w:rPr>
        <w:t>ו</w:t>
      </w:r>
      <w:r w:rsidRPr="00805363">
        <w:rPr>
          <w:rtl/>
        </w:rPr>
        <w:t xml:space="preserve"> </w:t>
      </w:r>
      <w:r>
        <w:rPr>
          <w:rFonts w:hint="cs"/>
          <w:rtl/>
        </w:rPr>
        <w:t>ההוראות לעניין נקודות להצבת כוורות</w:t>
      </w:r>
      <w:r w:rsidRPr="00805363">
        <w:rPr>
          <w:rtl/>
        </w:rPr>
        <w:t xml:space="preserve"> וההיתרים. </w:t>
      </w:r>
    </w:p>
    <w:p w:rsidR="001A7C31" w:rsidRDefault="001A7C31" w:rsidP="003604B2">
      <w:pPr>
        <w:pStyle w:val="Hesber"/>
        <w:rPr>
          <w:rtl/>
        </w:rPr>
      </w:pPr>
    </w:p>
    <w:p w:rsidR="003604B2" w:rsidRPr="00805363" w:rsidRDefault="003604B2" w:rsidP="003604B2">
      <w:pPr>
        <w:pStyle w:val="Hesber"/>
        <w:rPr>
          <w:rtl/>
        </w:rPr>
      </w:pPr>
      <w:r w:rsidRPr="00805363">
        <w:rPr>
          <w:rtl/>
        </w:rPr>
        <w:t>מוצע כי מקרקעין פרטיים או מקרקעי ציבור שהוקצו לעיבוד ומגורים פרטיים יהיו נתונים לרעייה חופשית, בכפוף לחובת רישום. לשם כך יוקם מרשם במשרד החקלאות</w:t>
      </w:r>
      <w:r>
        <w:rPr>
          <w:rFonts w:hint="cs"/>
          <w:rtl/>
        </w:rPr>
        <w:t xml:space="preserve"> ופיתוח הכפר</w:t>
      </w:r>
      <w:r w:rsidRPr="00805363">
        <w:rPr>
          <w:rtl/>
        </w:rPr>
        <w:t>, שיאגד את כל הנתונים לגבי כל הכוורות המוצבות לרעייה בשטחים פתוחים בישראל. כל מגדל יהיה חייב לרשום את כוורותיו ואת מקום הצבתן, את מועדי ההצבה ותקופתה, את מספר הכוורות, דרך סימונן ופרטי ההתקשרות עמו. הצבת כוורות תותר רק בחלוף ש</w:t>
      </w:r>
      <w:r>
        <w:rPr>
          <w:rFonts w:hint="cs"/>
          <w:rtl/>
        </w:rPr>
        <w:t>י</w:t>
      </w:r>
      <w:r w:rsidRPr="00805363">
        <w:rPr>
          <w:rtl/>
        </w:rPr>
        <w:t>שים י</w:t>
      </w:r>
      <w:r>
        <w:rPr>
          <w:rFonts w:hint="cs"/>
          <w:rtl/>
        </w:rPr>
        <w:t>מים מיום</w:t>
      </w:r>
      <w:r w:rsidRPr="00805363">
        <w:rPr>
          <w:rtl/>
        </w:rPr>
        <w:t xml:space="preserve"> הפרסום, והמרשם יודיע לדבוראים סמוכים על הרישום החדש. מרשם זה ישמש בראש ובראשונה כלי אפקטיבי להתמודדות עם מחלות זיהומיות ומניעת התפשטותן. בנוסף לכך, המרשם יתרום ליעילות המנגנון החופשי, בכך שיאפשר לדבוראים לכלכל את מעשיהם מראש, לתאם ביניהם את חלוקת השטחים באופן שקוף ולהגיע להסכמות לטובת כולם. בד בבד, יאפשר המרשם מעקב אחר כוורות גנובות והתמודדות עם פורעי חוק.</w:t>
      </w:r>
    </w:p>
    <w:p w:rsidR="003604B2" w:rsidRPr="00805363" w:rsidRDefault="003604B2" w:rsidP="003604B2">
      <w:pPr>
        <w:pStyle w:val="Hesber"/>
        <w:rPr>
          <w:rtl/>
        </w:rPr>
      </w:pPr>
      <w:r w:rsidRPr="00805363">
        <w:rPr>
          <w:rtl/>
        </w:rPr>
        <w:t>באשר לאופן חלוקת ההיתרים, מוצע כי זה ייעשה באמצעות מכרז</w:t>
      </w:r>
      <w:r>
        <w:rPr>
          <w:rFonts w:hint="cs"/>
          <w:rtl/>
        </w:rPr>
        <w:t>,</w:t>
      </w:r>
      <w:r w:rsidRPr="00805363">
        <w:rPr>
          <w:rtl/>
        </w:rPr>
        <w:t xml:space="preserve"> ולא על-פי שיקול דעתה של ועדה. מנגנון מכרזי יהיה שקוף יותר, הוגן יותר, ויעיל יותר מבחינה כלכלית, שכן יקצה את המשאבים למי שעבורו הם משתלמים ביותר. מוצע כי עיקר המשקל יהיה לערך הכלכלי שיוצע עבור נקודה, יחד עם משקל נמוך לשיקולים נוספים. כן מוצע להגביל את מספר הנקודות</w:t>
      </w:r>
      <w:r>
        <w:rPr>
          <w:rFonts w:hint="cs"/>
          <w:rtl/>
        </w:rPr>
        <w:t xml:space="preserve"> להצבת כוורות</w:t>
      </w:r>
      <w:r w:rsidRPr="00805363">
        <w:rPr>
          <w:rtl/>
        </w:rPr>
        <w:t xml:space="preserve"> שיכול כל דבוראי "לאבד" במכרז מדי שנה</w:t>
      </w:r>
      <w:r>
        <w:rPr>
          <w:rFonts w:hint="cs"/>
          <w:rtl/>
        </w:rPr>
        <w:t xml:space="preserve"> לעומת השנה הקודמת</w:t>
      </w:r>
      <w:r w:rsidRPr="00805363">
        <w:rPr>
          <w:rtl/>
        </w:rPr>
        <w:t xml:space="preserve">. </w:t>
      </w:r>
    </w:p>
    <w:p w:rsidR="003604B2" w:rsidRDefault="003604B2" w:rsidP="003604B2">
      <w:pPr>
        <w:pStyle w:val="Hesber"/>
        <w:rPr>
          <w:rtl/>
        </w:rPr>
      </w:pPr>
      <w:r w:rsidRPr="00805363">
        <w:rPr>
          <w:rtl/>
        </w:rPr>
        <w:t>בנוסף לכך מוצעים עוד תיקונים אחדים. כך מוצע כי קביעת הנקודות במקרקעי ציבור תיעשה במנותק מבקשת ההיתרים, לפי בדיקה אובייקטיבית של נתוני השטח. תיקון נוסף שמוצע הוא כי ועדת ההיתרים לא תכלול נציג של ארגון מגדלים, כדי למנוע ניגודי עניינים, אלא איש מקצוע מן התחום. כן מוצע כי תקופת כהונתם של החברים בוועדה תוגבל לארבע שנים.</w:t>
      </w:r>
    </w:p>
    <w:p w:rsidR="001A7C31" w:rsidRDefault="003604B2" w:rsidP="001A7C31">
      <w:pPr>
        <w:pStyle w:val="Hesber"/>
        <w:rPr>
          <w:rtl/>
        </w:rPr>
      </w:pPr>
      <w:r w:rsidRPr="006158F4">
        <w:rPr>
          <w:rFonts w:hint="eastAsia"/>
          <w:rtl/>
        </w:rPr>
        <w:t>הוראות</w:t>
      </w:r>
      <w:r w:rsidRPr="006158F4">
        <w:rPr>
          <w:rtl/>
        </w:rPr>
        <w:t xml:space="preserve"> </w:t>
      </w:r>
      <w:r w:rsidRPr="006158F4">
        <w:rPr>
          <w:rFonts w:hint="eastAsia"/>
          <w:rtl/>
        </w:rPr>
        <w:t>הצעת</w:t>
      </w:r>
      <w:r w:rsidRPr="006158F4">
        <w:rPr>
          <w:rtl/>
        </w:rPr>
        <w:t xml:space="preserve"> </w:t>
      </w:r>
      <w:r w:rsidRPr="006158F4">
        <w:rPr>
          <w:rFonts w:hint="eastAsia"/>
          <w:rtl/>
        </w:rPr>
        <w:t>חוק</w:t>
      </w:r>
      <w:r w:rsidRPr="006158F4">
        <w:rPr>
          <w:rtl/>
        </w:rPr>
        <w:t xml:space="preserve"> </w:t>
      </w:r>
      <w:r w:rsidRPr="006158F4">
        <w:rPr>
          <w:rFonts w:hint="eastAsia"/>
          <w:rtl/>
        </w:rPr>
        <w:t>זו</w:t>
      </w:r>
      <w:r w:rsidRPr="006158F4">
        <w:rPr>
          <w:rtl/>
        </w:rPr>
        <w:t xml:space="preserve"> נועדו להחליף את ההסדרים הקבועים בצו הפיקוח על מצרכים ושירותים (ייצור דבש ומכירתו), </w:t>
      </w:r>
      <w:r w:rsidRPr="006158F4">
        <w:rPr>
          <w:rFonts w:hint="eastAsia"/>
          <w:rtl/>
        </w:rPr>
        <w:t>התשל</w:t>
      </w:r>
      <w:r w:rsidRPr="006158F4">
        <w:rPr>
          <w:rtl/>
        </w:rPr>
        <w:t>"ז</w:t>
      </w:r>
      <w:r w:rsidRPr="006158F4">
        <w:rPr>
          <w:rFonts w:hint="eastAsia"/>
          <w:rtl/>
        </w:rPr>
        <w:t>–</w:t>
      </w:r>
      <w:r w:rsidRPr="006158F4">
        <w:rPr>
          <w:rtl/>
        </w:rPr>
        <w:t xml:space="preserve">1977 </w:t>
      </w:r>
      <w:r w:rsidRPr="006158F4">
        <w:rPr>
          <w:rFonts w:hint="eastAsia"/>
          <w:rtl/>
        </w:rPr>
        <w:t>והתקנות</w:t>
      </w:r>
      <w:r w:rsidRPr="006158F4">
        <w:rPr>
          <w:rtl/>
        </w:rPr>
        <w:t xml:space="preserve"> </w:t>
      </w:r>
      <w:r w:rsidRPr="006158F4">
        <w:rPr>
          <w:rFonts w:hint="eastAsia"/>
          <w:rtl/>
        </w:rPr>
        <w:t>המעניקות</w:t>
      </w:r>
      <w:r w:rsidRPr="006158F4">
        <w:rPr>
          <w:rtl/>
        </w:rPr>
        <w:t xml:space="preserve"> </w:t>
      </w:r>
      <w:r w:rsidRPr="006158F4">
        <w:rPr>
          <w:rFonts w:hint="eastAsia"/>
          <w:rtl/>
        </w:rPr>
        <w:t>סמכויות</w:t>
      </w:r>
      <w:r w:rsidRPr="006158F4">
        <w:rPr>
          <w:rtl/>
        </w:rPr>
        <w:t xml:space="preserve"> </w:t>
      </w:r>
      <w:r w:rsidRPr="006158F4">
        <w:rPr>
          <w:rFonts w:hint="eastAsia"/>
          <w:rtl/>
        </w:rPr>
        <w:t>בתחום</w:t>
      </w:r>
      <w:r w:rsidRPr="006158F4">
        <w:rPr>
          <w:rtl/>
        </w:rPr>
        <w:t xml:space="preserve"> </w:t>
      </w:r>
      <w:r w:rsidRPr="006158F4">
        <w:rPr>
          <w:rFonts w:hint="eastAsia"/>
          <w:rtl/>
        </w:rPr>
        <w:t>הסדרה</w:t>
      </w:r>
      <w:r w:rsidRPr="006158F4">
        <w:rPr>
          <w:rtl/>
        </w:rPr>
        <w:t xml:space="preserve">, </w:t>
      </w:r>
      <w:r w:rsidRPr="006158F4">
        <w:rPr>
          <w:rFonts w:hint="eastAsia"/>
          <w:rtl/>
        </w:rPr>
        <w:t>רישוי</w:t>
      </w:r>
      <w:r w:rsidRPr="006158F4">
        <w:rPr>
          <w:rtl/>
        </w:rPr>
        <w:t xml:space="preserve">, </w:t>
      </w:r>
      <w:r w:rsidRPr="006158F4">
        <w:rPr>
          <w:rFonts w:hint="eastAsia"/>
          <w:rtl/>
        </w:rPr>
        <w:t>הענקת</w:t>
      </w:r>
      <w:r w:rsidRPr="006158F4">
        <w:rPr>
          <w:rtl/>
        </w:rPr>
        <w:t xml:space="preserve"> </w:t>
      </w:r>
      <w:r w:rsidRPr="006158F4">
        <w:rPr>
          <w:rFonts w:hint="eastAsia"/>
          <w:rtl/>
        </w:rPr>
        <w:t>היתרים</w:t>
      </w:r>
      <w:r w:rsidRPr="006158F4">
        <w:rPr>
          <w:rtl/>
        </w:rPr>
        <w:t xml:space="preserve"> </w:t>
      </w:r>
      <w:r w:rsidRPr="006158F4">
        <w:rPr>
          <w:rFonts w:hint="eastAsia"/>
          <w:rtl/>
        </w:rPr>
        <w:t>ופיקוח</w:t>
      </w:r>
      <w:r w:rsidRPr="006158F4">
        <w:rPr>
          <w:rtl/>
        </w:rPr>
        <w:t xml:space="preserve"> </w:t>
      </w:r>
      <w:r w:rsidRPr="006158F4">
        <w:rPr>
          <w:rFonts w:hint="eastAsia"/>
          <w:rtl/>
        </w:rPr>
        <w:t>למועצה</w:t>
      </w:r>
      <w:r w:rsidRPr="006158F4">
        <w:rPr>
          <w:rtl/>
        </w:rPr>
        <w:t xml:space="preserve"> </w:t>
      </w:r>
      <w:r w:rsidRPr="006158F4">
        <w:rPr>
          <w:rFonts w:hint="eastAsia"/>
          <w:rtl/>
        </w:rPr>
        <w:t>לייצור</w:t>
      </w:r>
      <w:r w:rsidRPr="006158F4">
        <w:rPr>
          <w:rtl/>
        </w:rPr>
        <w:t xml:space="preserve"> ולשיווק של דבש מתוקף התקנות להשבחת ייצור חקלאי (בעלי </w:t>
      </w:r>
      <w:r w:rsidRPr="006158F4">
        <w:rPr>
          <w:rFonts w:hint="eastAsia"/>
          <w:rtl/>
        </w:rPr>
        <w:t>חיים</w:t>
      </w:r>
      <w:r w:rsidRPr="006158F4">
        <w:rPr>
          <w:rtl/>
        </w:rPr>
        <w:t>)</w:t>
      </w:r>
      <w:r w:rsidR="001A7C31">
        <w:rPr>
          <w:rFonts w:hint="cs"/>
          <w:rtl/>
        </w:rPr>
        <w:t xml:space="preserve"> </w:t>
      </w:r>
      <w:r w:rsidRPr="006158F4">
        <w:rPr>
          <w:rtl/>
        </w:rPr>
        <w:t xml:space="preserve">(דבורים), </w:t>
      </w:r>
      <w:r w:rsidRPr="006158F4">
        <w:rPr>
          <w:rFonts w:hint="eastAsia"/>
          <w:rtl/>
        </w:rPr>
        <w:t>התשכ</w:t>
      </w:r>
      <w:r w:rsidRPr="006158F4">
        <w:rPr>
          <w:rtl/>
        </w:rPr>
        <w:t>"ח</w:t>
      </w:r>
      <w:r w:rsidRPr="006158F4">
        <w:rPr>
          <w:rFonts w:hint="eastAsia"/>
          <w:rtl/>
        </w:rPr>
        <w:t>–</w:t>
      </w:r>
      <w:r w:rsidRPr="006158F4">
        <w:rPr>
          <w:rtl/>
        </w:rPr>
        <w:t>1968</w:t>
      </w:r>
      <w:r w:rsidR="001A7C31">
        <w:rPr>
          <w:rFonts w:hint="cs"/>
          <w:rtl/>
        </w:rPr>
        <w:t xml:space="preserve">. </w:t>
      </w:r>
      <w:r w:rsidRPr="006158F4">
        <w:rPr>
          <w:rFonts w:hint="eastAsia"/>
          <w:rtl/>
        </w:rPr>
        <w:t>בהתאם</w:t>
      </w:r>
      <w:r w:rsidRPr="006158F4">
        <w:rPr>
          <w:rtl/>
        </w:rPr>
        <w:t xml:space="preserve"> לחוק המוצע כלל סמכויות המועצה לייצור  ולשיווק של </w:t>
      </w:r>
      <w:r w:rsidRPr="006158F4">
        <w:rPr>
          <w:rFonts w:hint="eastAsia"/>
          <w:rtl/>
        </w:rPr>
        <w:t>דבש</w:t>
      </w:r>
      <w:r w:rsidR="001A7C31">
        <w:rPr>
          <w:rtl/>
        </w:rPr>
        <w:t xml:space="preserve"> יעברו לידי משרד החקלאות</w:t>
      </w:r>
      <w:r w:rsidR="001A7C31">
        <w:rPr>
          <w:rFonts w:hint="cs"/>
          <w:rtl/>
        </w:rPr>
        <w:t xml:space="preserve"> ופיתוח הכפר.</w:t>
      </w:r>
    </w:p>
    <w:p w:rsidR="001A7C31" w:rsidRDefault="001A7C31" w:rsidP="003604B2">
      <w:pPr>
        <w:pStyle w:val="Hesber"/>
        <w:rPr>
          <w:rtl/>
        </w:rPr>
      </w:pPr>
    </w:p>
    <w:p w:rsidR="001A7C31" w:rsidRDefault="001A7C31" w:rsidP="003604B2">
      <w:pPr>
        <w:pStyle w:val="Hesber"/>
        <w:rPr>
          <w:rtl/>
        </w:rPr>
      </w:pPr>
    </w:p>
    <w:p w:rsidR="001A7C31" w:rsidRDefault="001A7C31" w:rsidP="003604B2">
      <w:pPr>
        <w:pStyle w:val="Hesber"/>
        <w:rPr>
          <w:rtl/>
        </w:rPr>
      </w:pPr>
    </w:p>
    <w:p w:rsidR="001A7C31" w:rsidRPr="0022704F" w:rsidRDefault="001A7C31" w:rsidP="001A7C31">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rsidR="001A7C31" w:rsidRPr="0022704F" w:rsidRDefault="001A7C31" w:rsidP="001A7C31">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rsidR="001A7C31" w:rsidRPr="0022704F" w:rsidRDefault="001A7C31" w:rsidP="001A7C31">
      <w:pPr>
        <w:spacing w:before="0" w:line="360" w:lineRule="auto"/>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rsidR="001A7C31" w:rsidRPr="00935520" w:rsidRDefault="001A7C31" w:rsidP="001A7C31">
      <w:pPr>
        <w:spacing w:before="0" w:line="360" w:lineRule="auto"/>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י"א בכסלו התשע"ו</w:t>
      </w:r>
      <w:r w:rsidRPr="00935520">
        <w:rPr>
          <w:rFonts w:ascii="Arial" w:eastAsia="Arial Unicode MS" w:hAnsi="Arial" w:cs="David" w:hint="cs"/>
          <w:snapToGrid w:val="0"/>
          <w:spacing w:val="0"/>
          <w:sz w:val="20"/>
          <w:szCs w:val="26"/>
          <w:rtl/>
        </w:rPr>
        <w:t xml:space="preserve"> – </w:t>
      </w:r>
      <w:r>
        <w:rPr>
          <w:rFonts w:ascii="Arial" w:eastAsia="Arial Unicode MS" w:hAnsi="Arial" w:cs="David" w:hint="cs"/>
          <w:snapToGrid w:val="0"/>
          <w:spacing w:val="0"/>
          <w:sz w:val="20"/>
          <w:szCs w:val="26"/>
          <w:rtl/>
        </w:rPr>
        <w:t>23</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11</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15</w:t>
      </w:r>
    </w:p>
    <w:p w:rsidR="001A7C31" w:rsidRPr="00E635D3" w:rsidRDefault="001A7C31" w:rsidP="001A7C31">
      <w:pPr>
        <w:spacing w:before="0" w:line="360" w:lineRule="auto"/>
        <w:ind w:left="340" w:firstLine="0"/>
        <w:rPr>
          <w:rFonts w:ascii="Arial" w:eastAsia="Arial Unicode MS" w:hAnsi="Arial" w:cs="David"/>
          <w:snapToGrid w:val="0"/>
          <w:spacing w:val="0"/>
          <w:sz w:val="20"/>
          <w:szCs w:val="26"/>
          <w:rtl/>
        </w:rPr>
      </w:pPr>
    </w:p>
    <w:p w:rsidR="001A7C31" w:rsidRDefault="001A7C31" w:rsidP="003604B2">
      <w:pPr>
        <w:pStyle w:val="Hesber"/>
        <w:rPr>
          <w:rtl/>
        </w:rPr>
      </w:pPr>
    </w:p>
    <w:p w:rsidR="001A7C31" w:rsidRDefault="003604B2" w:rsidP="003604B2">
      <w:pPr>
        <w:pStyle w:val="Hesber"/>
        <w:rPr>
          <w:rtl/>
        </w:rPr>
      </w:pPr>
      <w:r w:rsidRPr="006158F4">
        <w:rPr>
          <w:rtl/>
        </w:rPr>
        <w:t xml:space="preserve"> </w:t>
      </w:r>
    </w:p>
    <w:p w:rsidR="003604B2" w:rsidRPr="00887DC1" w:rsidRDefault="003604B2" w:rsidP="003604B2">
      <w:pPr>
        <w:pStyle w:val="Hesber"/>
        <w:rPr>
          <w:rFonts w:asciiTheme="minorBidi" w:hAnsiTheme="minorBidi" w:cstheme="minorBidi"/>
          <w:sz w:val="24"/>
          <w:szCs w:val="24"/>
          <w:rtl/>
        </w:rPr>
      </w:pPr>
    </w:p>
    <w:p w:rsidR="00E13C27" w:rsidRPr="00887DC1" w:rsidRDefault="00E13C27" w:rsidP="003604B2">
      <w:pPr>
        <w:pStyle w:val="Hesber"/>
        <w:rPr>
          <w:rFonts w:asciiTheme="minorBidi" w:hAnsiTheme="minorBidi" w:cstheme="minorBidi"/>
          <w:sz w:val="24"/>
          <w:szCs w:val="24"/>
          <w:rtl/>
        </w:rPr>
      </w:pPr>
    </w:p>
    <w:sectPr w:rsidR="00E13C27" w:rsidRPr="00887DC1" w:rsidSect="006F7FAC">
      <w:footerReference w:type="even" r:id="rId12"/>
      <w:footerReference w:type="default" r:id="rId13"/>
      <w:type w:val="continuous"/>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38" w:rsidRDefault="004A3838">
      <w:r>
        <w:separator/>
      </w:r>
    </w:p>
  </w:endnote>
  <w:endnote w:type="continuationSeparator" w:id="0">
    <w:p w:rsidR="004A3838" w:rsidRDefault="004A3838">
      <w:r>
        <w:continuationSeparator/>
      </w:r>
    </w:p>
  </w:endnote>
  <w:endnote w:type="continuationNotice" w:id="1">
    <w:p w:rsidR="004A3838" w:rsidRDefault="004A383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A9" w:rsidRDefault="00E151A9"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E151A9" w:rsidRDefault="00E151A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A9" w:rsidRDefault="00E151A9"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09226C">
      <w:rPr>
        <w:rStyle w:val="ab"/>
        <w:noProof/>
        <w:rtl/>
      </w:rPr>
      <w:t>13</w:t>
    </w:r>
    <w:r>
      <w:rPr>
        <w:rStyle w:val="ab"/>
        <w:rtl/>
      </w:rPr>
      <w:fldChar w:fldCharType="end"/>
    </w:r>
  </w:p>
  <w:p w:rsidR="00E151A9" w:rsidRDefault="00E151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38" w:rsidRDefault="004A3838">
      <w:r>
        <w:separator/>
      </w:r>
    </w:p>
  </w:footnote>
  <w:footnote w:type="continuationSeparator" w:id="0">
    <w:p w:rsidR="004A3838" w:rsidRDefault="004A3838">
      <w:r>
        <w:continuationSeparator/>
      </w:r>
    </w:p>
  </w:footnote>
  <w:footnote w:type="continuationNotice" w:id="1">
    <w:p w:rsidR="004A3838" w:rsidRDefault="004A3838"/>
  </w:footnote>
  <w:footnote w:id="2">
    <w:p w:rsidR="003604B2" w:rsidRDefault="003604B2" w:rsidP="003604B2">
      <w:pPr>
        <w:pStyle w:val="a4"/>
        <w:rPr>
          <w:rtl/>
        </w:rPr>
      </w:pPr>
      <w:r>
        <w:rPr>
          <w:rStyle w:val="a6"/>
        </w:rPr>
        <w:footnoteRef/>
      </w:r>
      <w:r>
        <w:rPr>
          <w:rtl/>
        </w:rPr>
        <w:t xml:space="preserve"> </w:t>
      </w:r>
      <w:r>
        <w:rPr>
          <w:rFonts w:hint="cs"/>
          <w:sz w:val="20"/>
          <w:rtl/>
        </w:rPr>
        <w:t>ס"ח התש"ך,  עמ' 56.</w:t>
      </w:r>
    </w:p>
  </w:footnote>
  <w:footnote w:id="3">
    <w:p w:rsidR="003604B2" w:rsidRDefault="003604B2" w:rsidP="003604B2">
      <w:pPr>
        <w:pStyle w:val="a4"/>
        <w:rPr>
          <w:rtl/>
        </w:rPr>
      </w:pPr>
      <w:r>
        <w:rPr>
          <w:rStyle w:val="a6"/>
        </w:rPr>
        <w:footnoteRef/>
      </w:r>
      <w:r>
        <w:rPr>
          <w:rtl/>
        </w:rPr>
        <w:t xml:space="preserve"> </w:t>
      </w:r>
      <w:r w:rsidRPr="0089490C">
        <w:rPr>
          <w:rtl/>
        </w:rPr>
        <w:t xml:space="preserve">ס"ח </w:t>
      </w:r>
      <w:r w:rsidRPr="0089490C">
        <w:rPr>
          <w:rFonts w:hint="eastAsia"/>
          <w:rtl/>
        </w:rPr>
        <w:t>התש</w:t>
      </w:r>
      <w:r w:rsidRPr="0089490C">
        <w:rPr>
          <w:rtl/>
        </w:rPr>
        <w:t xml:space="preserve">"ך, </w:t>
      </w:r>
      <w:r w:rsidRPr="0089490C">
        <w:rPr>
          <w:rFonts w:hint="eastAsia"/>
          <w:rtl/>
        </w:rPr>
        <w:t>עמ</w:t>
      </w:r>
      <w:r w:rsidRPr="0089490C">
        <w:rPr>
          <w:rtl/>
        </w:rPr>
        <w:t>' 57 .</w:t>
      </w:r>
    </w:p>
  </w:footnote>
  <w:footnote w:id="4">
    <w:p w:rsidR="003604B2" w:rsidRDefault="003604B2" w:rsidP="003604B2">
      <w:pPr>
        <w:pStyle w:val="a4"/>
        <w:rPr>
          <w:rtl/>
        </w:rPr>
      </w:pPr>
      <w:r>
        <w:rPr>
          <w:rStyle w:val="a6"/>
        </w:rPr>
        <w:footnoteRef/>
      </w:r>
      <w:r>
        <w:rPr>
          <w:rtl/>
        </w:rPr>
        <w:t xml:space="preserve"> </w:t>
      </w:r>
      <w:r>
        <w:rPr>
          <w:rFonts w:hint="cs"/>
          <w:rtl/>
        </w:rPr>
        <w:t>ע"ר 1945, תוס' 2, עמ' (ע) 855 (א) 1055.</w:t>
      </w:r>
    </w:p>
  </w:footnote>
  <w:footnote w:id="5">
    <w:p w:rsidR="003604B2" w:rsidRDefault="003604B2" w:rsidP="003604B2">
      <w:pPr>
        <w:pStyle w:val="a4"/>
        <w:rPr>
          <w:rtl/>
        </w:rPr>
      </w:pPr>
      <w:r>
        <w:rPr>
          <w:rStyle w:val="a6"/>
        </w:rPr>
        <w:footnoteRef/>
      </w:r>
      <w:r>
        <w:rPr>
          <w:rtl/>
        </w:rPr>
        <w:t xml:space="preserve"> </w:t>
      </w:r>
      <w:r>
        <w:rPr>
          <w:rFonts w:hint="cs"/>
          <w:rtl/>
        </w:rPr>
        <w:t>ס"ח תשנ"ח, עמ' 202.</w:t>
      </w:r>
    </w:p>
  </w:footnote>
  <w:footnote w:id="6">
    <w:p w:rsidR="003604B2" w:rsidRDefault="003604B2" w:rsidP="003604B2">
      <w:pPr>
        <w:pStyle w:val="a4"/>
        <w:rPr>
          <w:rtl/>
        </w:rPr>
      </w:pPr>
      <w:r>
        <w:rPr>
          <w:rStyle w:val="a6"/>
        </w:rPr>
        <w:footnoteRef/>
      </w:r>
      <w:r>
        <w:rPr>
          <w:rtl/>
        </w:rPr>
        <w:t xml:space="preserve"> </w:t>
      </w:r>
      <w:r w:rsidRPr="00FE6771">
        <w:rPr>
          <w:rFonts w:hint="cs"/>
          <w:rtl/>
        </w:rPr>
        <w:t xml:space="preserve">ס"ח </w:t>
      </w:r>
      <w:r>
        <w:rPr>
          <w:rFonts w:hint="cs"/>
          <w:rtl/>
        </w:rPr>
        <w:t>ה</w:t>
      </w:r>
      <w:r w:rsidRPr="00FE6771">
        <w:rPr>
          <w:rFonts w:hint="cs"/>
          <w:rtl/>
        </w:rPr>
        <w:t>תשנ"ב</w:t>
      </w:r>
      <w:r>
        <w:rPr>
          <w:rFonts w:hint="cs"/>
          <w:rtl/>
        </w:rPr>
        <w:t>,</w:t>
      </w:r>
      <w:r w:rsidRPr="00FE6771">
        <w:rPr>
          <w:rFonts w:hint="cs"/>
          <w:rtl/>
        </w:rPr>
        <w:t xml:space="preserve"> עמ' 90.</w:t>
      </w:r>
    </w:p>
  </w:footnote>
  <w:footnote w:id="7">
    <w:p w:rsidR="003604B2" w:rsidRDefault="003604B2" w:rsidP="003604B2">
      <w:pPr>
        <w:pStyle w:val="a4"/>
        <w:rPr>
          <w:rtl/>
        </w:rPr>
      </w:pPr>
      <w:r>
        <w:rPr>
          <w:rStyle w:val="a6"/>
        </w:rPr>
        <w:footnoteRef/>
      </w:r>
      <w:r>
        <w:rPr>
          <w:rtl/>
        </w:rPr>
        <w:t xml:space="preserve"> </w:t>
      </w:r>
      <w:r>
        <w:rPr>
          <w:rFonts w:hint="cs"/>
          <w:rtl/>
        </w:rPr>
        <w:t xml:space="preserve">ס"ח התשכ"ז, עמ' 108. </w:t>
      </w:r>
    </w:p>
  </w:footnote>
  <w:footnote w:id="8">
    <w:p w:rsidR="003604B2" w:rsidRDefault="003604B2" w:rsidP="003604B2">
      <w:pPr>
        <w:pStyle w:val="a4"/>
      </w:pPr>
      <w:r>
        <w:rPr>
          <w:rStyle w:val="a6"/>
        </w:rPr>
        <w:footnoteRef/>
      </w:r>
      <w:r>
        <w:rPr>
          <w:rtl/>
        </w:rPr>
        <w:t xml:space="preserve"> </w:t>
      </w:r>
      <w:r>
        <w:rPr>
          <w:rFonts w:hint="cs"/>
          <w:rtl/>
        </w:rPr>
        <w:t>ס"ח התשי"ג, עמ' 30.</w:t>
      </w:r>
    </w:p>
  </w:footnote>
  <w:footnote w:id="9">
    <w:p w:rsidR="003604B2" w:rsidRDefault="003604B2" w:rsidP="003604B2">
      <w:pPr>
        <w:pStyle w:val="a4"/>
      </w:pPr>
      <w:r>
        <w:rPr>
          <w:rStyle w:val="a6"/>
        </w:rPr>
        <w:footnoteRef/>
      </w:r>
      <w:r>
        <w:rPr>
          <w:rtl/>
        </w:rPr>
        <w:t xml:space="preserve"> </w:t>
      </w:r>
      <w:r>
        <w:rPr>
          <w:rFonts w:hint="cs"/>
          <w:rtl/>
        </w:rPr>
        <w:t xml:space="preserve">ס"ח התשנ"ה, עמ' 366. </w:t>
      </w:r>
    </w:p>
  </w:footnote>
  <w:footnote w:id="10">
    <w:p w:rsidR="003604B2" w:rsidRDefault="003604B2" w:rsidP="003604B2">
      <w:pPr>
        <w:pStyle w:val="a4"/>
        <w:rPr>
          <w:rtl/>
        </w:rPr>
      </w:pPr>
      <w:r>
        <w:rPr>
          <w:rStyle w:val="a6"/>
        </w:rPr>
        <w:footnoteRef/>
      </w:r>
      <w:r>
        <w:rPr>
          <w:rtl/>
        </w:rPr>
        <w:t xml:space="preserve"> </w:t>
      </w:r>
      <w:r w:rsidRPr="00CD60B7">
        <w:rPr>
          <w:rtl/>
        </w:rPr>
        <w:t>ח</w:t>
      </w:r>
      <w:r>
        <w:rPr>
          <w:rFonts w:hint="cs"/>
          <w:rtl/>
        </w:rPr>
        <w:t xml:space="preserve">וקי </w:t>
      </w:r>
      <w:r w:rsidRPr="00CD60B7">
        <w:rPr>
          <w:rtl/>
        </w:rPr>
        <w:t>א"י, כרך א', עמ' (ע) 439, (א) 467</w:t>
      </w:r>
      <w:r w:rsidRPr="00CD60B7">
        <w:rPr>
          <w:rFonts w:hint="cs"/>
          <w:rtl/>
        </w:rPr>
        <w:t>.</w:t>
      </w:r>
    </w:p>
  </w:footnote>
  <w:footnote w:id="11">
    <w:p w:rsidR="003604B2" w:rsidRDefault="003604B2" w:rsidP="003604B2">
      <w:pPr>
        <w:pStyle w:val="a4"/>
      </w:pPr>
      <w:r>
        <w:rPr>
          <w:rStyle w:val="a6"/>
        </w:rPr>
        <w:footnoteRef/>
      </w:r>
      <w:r>
        <w:rPr>
          <w:rtl/>
        </w:rPr>
        <w:t xml:space="preserve"> </w:t>
      </w:r>
      <w:r w:rsidRPr="00CD60B7">
        <w:rPr>
          <w:rFonts w:hint="cs"/>
          <w:rtl/>
        </w:rPr>
        <w:t>דיני מדינת ישראל, נוסח חדש 12, עמ' 284.</w:t>
      </w:r>
    </w:p>
  </w:footnote>
  <w:footnote w:id="12">
    <w:p w:rsidR="003604B2" w:rsidRDefault="003604B2" w:rsidP="003604B2">
      <w:pPr>
        <w:pStyle w:val="a4"/>
        <w:rPr>
          <w:rtl/>
        </w:rPr>
      </w:pPr>
      <w:r>
        <w:rPr>
          <w:rStyle w:val="a6"/>
        </w:rPr>
        <w:footnoteRef/>
      </w:r>
      <w:r>
        <w:rPr>
          <w:rtl/>
        </w:rPr>
        <w:t xml:space="preserve"> </w:t>
      </w:r>
      <w:r w:rsidRPr="00CD60B7">
        <w:rPr>
          <w:rFonts w:hint="cs"/>
          <w:rtl/>
        </w:rPr>
        <w:t>ס"ח התשנ"ו, עמ' 338.</w:t>
      </w:r>
    </w:p>
  </w:footnote>
  <w:footnote w:id="13">
    <w:p w:rsidR="003604B2" w:rsidRDefault="003604B2" w:rsidP="003604B2">
      <w:pPr>
        <w:pStyle w:val="a4"/>
        <w:rPr>
          <w:rtl/>
        </w:rPr>
      </w:pPr>
      <w:r>
        <w:rPr>
          <w:rStyle w:val="a6"/>
        </w:rPr>
        <w:footnoteRef/>
      </w:r>
      <w:r>
        <w:rPr>
          <w:rtl/>
        </w:rPr>
        <w:t xml:space="preserve"> </w:t>
      </w:r>
      <w:r w:rsidRPr="009B79D0">
        <w:rPr>
          <w:rFonts w:hint="cs"/>
          <w:rtl/>
        </w:rPr>
        <w:t xml:space="preserve">ס"ח </w:t>
      </w:r>
      <w:r>
        <w:rPr>
          <w:rFonts w:hint="cs"/>
          <w:rtl/>
        </w:rPr>
        <w:t>ה</w:t>
      </w:r>
      <w:r w:rsidRPr="009B79D0">
        <w:rPr>
          <w:rFonts w:hint="cs"/>
          <w:rtl/>
        </w:rPr>
        <w:t>תשל"ז, עמ' 226.</w:t>
      </w:r>
    </w:p>
  </w:footnote>
  <w:footnote w:id="14">
    <w:p w:rsidR="003604B2" w:rsidRDefault="003604B2" w:rsidP="003604B2">
      <w:pPr>
        <w:pStyle w:val="a4"/>
        <w:rPr>
          <w:rtl/>
        </w:rPr>
      </w:pPr>
      <w:r>
        <w:rPr>
          <w:rStyle w:val="a6"/>
        </w:rPr>
        <w:footnoteRef/>
      </w:r>
      <w:r>
        <w:rPr>
          <w:rtl/>
        </w:rPr>
        <w:t xml:space="preserve"> </w:t>
      </w:r>
      <w:r>
        <w:rPr>
          <w:rFonts w:hint="cs"/>
          <w:rtl/>
        </w:rPr>
        <w:t>ס"ח התש"ס, עמ' 190; התשע"א, עמ' 49.</w:t>
      </w:r>
    </w:p>
  </w:footnote>
  <w:footnote w:id="15">
    <w:p w:rsidR="001A7C31" w:rsidRDefault="001A7C31" w:rsidP="003604B2">
      <w:pPr>
        <w:pStyle w:val="a4"/>
      </w:pPr>
      <w:r>
        <w:rPr>
          <w:rStyle w:val="a6"/>
        </w:rPr>
        <w:footnoteRef/>
      </w:r>
      <w:r>
        <w:rPr>
          <w:rtl/>
        </w:rPr>
        <w:t xml:space="preserve"> </w:t>
      </w:r>
      <w:r>
        <w:rPr>
          <w:rFonts w:hint="cs"/>
          <w:rtl/>
        </w:rPr>
        <w:t>ק"ת התשל"ז, עמ' 2236.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050B290C"/>
    <w:multiLevelType w:val="hybridMultilevel"/>
    <w:tmpl w:val="B8C846FC"/>
    <w:lvl w:ilvl="0" w:tplc="5B702BD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nsid w:val="05165C20"/>
    <w:multiLevelType w:val="hybridMultilevel"/>
    <w:tmpl w:val="4B427886"/>
    <w:lvl w:ilvl="0" w:tplc="04BC16E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2A0F25"/>
    <w:multiLevelType w:val="hybridMultilevel"/>
    <w:tmpl w:val="B172D5B8"/>
    <w:lvl w:ilvl="0" w:tplc="8DB6F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38164D"/>
    <w:multiLevelType w:val="hybridMultilevel"/>
    <w:tmpl w:val="55CE5198"/>
    <w:lvl w:ilvl="0" w:tplc="553C72B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E0291C"/>
    <w:multiLevelType w:val="hybridMultilevel"/>
    <w:tmpl w:val="8C089930"/>
    <w:lvl w:ilvl="0" w:tplc="13AAB4D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493E97"/>
    <w:multiLevelType w:val="hybridMultilevel"/>
    <w:tmpl w:val="E72ABB5A"/>
    <w:lvl w:ilvl="0" w:tplc="68FE6616">
      <w:start w:val="1"/>
      <w:numFmt w:val="decimal"/>
      <w:lvlText w:val="(%1)"/>
      <w:lvlJc w:val="left"/>
      <w:pPr>
        <w:ind w:left="720" w:hanging="360"/>
      </w:pPr>
      <w:rPr>
        <w:rFonts w:ascii="Times New Roman" w:eastAsia="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870F3B"/>
    <w:multiLevelType w:val="hybridMultilevel"/>
    <w:tmpl w:val="1256C66C"/>
    <w:lvl w:ilvl="0" w:tplc="79B48AC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7C3130"/>
    <w:multiLevelType w:val="hybridMultilevel"/>
    <w:tmpl w:val="8516265C"/>
    <w:lvl w:ilvl="0" w:tplc="5D2AB1E4">
      <w:start w:val="1"/>
      <w:numFmt w:val="hebrew1"/>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C753CE"/>
    <w:multiLevelType w:val="hybridMultilevel"/>
    <w:tmpl w:val="98B4B242"/>
    <w:lvl w:ilvl="0" w:tplc="0C80FCA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E0557"/>
    <w:multiLevelType w:val="hybridMultilevel"/>
    <w:tmpl w:val="A7F87948"/>
    <w:lvl w:ilvl="0" w:tplc="8D78BC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8636B"/>
    <w:multiLevelType w:val="hybridMultilevel"/>
    <w:tmpl w:val="D506C6CE"/>
    <w:lvl w:ilvl="0" w:tplc="5DA6476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C3F82"/>
    <w:multiLevelType w:val="hybridMultilevel"/>
    <w:tmpl w:val="44B8A298"/>
    <w:lvl w:ilvl="0" w:tplc="46440840">
      <w:start w:val="1"/>
      <w:numFmt w:val="hebrew1"/>
      <w:lvlText w:val="(%1)"/>
      <w:lvlJc w:val="left"/>
      <w:pPr>
        <w:ind w:left="720" w:hanging="360"/>
      </w:pPr>
      <w:rPr>
        <w:rFonts w:ascii="Arial" w:eastAsia="Arial Unicode MS" w:hAnsi="Arial"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D7C80"/>
    <w:multiLevelType w:val="hybridMultilevel"/>
    <w:tmpl w:val="14C406A4"/>
    <w:lvl w:ilvl="0" w:tplc="00D2B94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202A3"/>
    <w:multiLevelType w:val="multilevel"/>
    <w:tmpl w:val="BA78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721526"/>
    <w:multiLevelType w:val="hybridMultilevel"/>
    <w:tmpl w:val="C2B8C6B2"/>
    <w:lvl w:ilvl="0" w:tplc="AA5C39D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B4930"/>
    <w:multiLevelType w:val="hybridMultilevel"/>
    <w:tmpl w:val="19CE4A5C"/>
    <w:lvl w:ilvl="0" w:tplc="FEFC92FA">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32478B"/>
    <w:multiLevelType w:val="hybridMultilevel"/>
    <w:tmpl w:val="C61A5A22"/>
    <w:lvl w:ilvl="0" w:tplc="724ADF3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60957"/>
    <w:multiLevelType w:val="hybridMultilevel"/>
    <w:tmpl w:val="936C00B8"/>
    <w:lvl w:ilvl="0" w:tplc="8200C3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D2C4D"/>
    <w:multiLevelType w:val="hybridMultilevel"/>
    <w:tmpl w:val="852A441A"/>
    <w:lvl w:ilvl="0" w:tplc="C030A38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926C04"/>
    <w:multiLevelType w:val="hybridMultilevel"/>
    <w:tmpl w:val="468AADC6"/>
    <w:lvl w:ilvl="0" w:tplc="0658C63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02F07"/>
    <w:multiLevelType w:val="hybridMultilevel"/>
    <w:tmpl w:val="A7781EDE"/>
    <w:lvl w:ilvl="0" w:tplc="E0A498E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459D8"/>
    <w:multiLevelType w:val="multilevel"/>
    <w:tmpl w:val="EF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E51EBA"/>
    <w:multiLevelType w:val="hybridMultilevel"/>
    <w:tmpl w:val="B4C44C3C"/>
    <w:lvl w:ilvl="0" w:tplc="94D42F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95A79"/>
    <w:multiLevelType w:val="hybridMultilevel"/>
    <w:tmpl w:val="DB7EEBEE"/>
    <w:lvl w:ilvl="0" w:tplc="43F435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1"/>
  </w:num>
  <w:num w:numId="13">
    <w:abstractNumId w:val="18"/>
  </w:num>
  <w:num w:numId="14">
    <w:abstractNumId w:val="32"/>
  </w:num>
  <w:num w:numId="15">
    <w:abstractNumId w:val="20"/>
  </w:num>
  <w:num w:numId="16">
    <w:abstractNumId w:val="28"/>
  </w:num>
  <w:num w:numId="17">
    <w:abstractNumId w:val="24"/>
  </w:num>
  <w:num w:numId="18">
    <w:abstractNumId w:val="16"/>
  </w:num>
  <w:num w:numId="19">
    <w:abstractNumId w:val="34"/>
  </w:num>
  <w:num w:numId="20">
    <w:abstractNumId w:val="33"/>
  </w:num>
  <w:num w:numId="21">
    <w:abstractNumId w:val="13"/>
  </w:num>
  <w:num w:numId="22">
    <w:abstractNumId w:val="30"/>
  </w:num>
  <w:num w:numId="23">
    <w:abstractNumId w:val="14"/>
  </w:num>
  <w:num w:numId="24">
    <w:abstractNumId w:val="10"/>
  </w:num>
  <w:num w:numId="25">
    <w:abstractNumId w:val="17"/>
  </w:num>
  <w:num w:numId="26">
    <w:abstractNumId w:val="11"/>
  </w:num>
  <w:num w:numId="27">
    <w:abstractNumId w:val="23"/>
  </w:num>
  <w:num w:numId="28">
    <w:abstractNumId w:val="22"/>
  </w:num>
  <w:num w:numId="29">
    <w:abstractNumId w:val="35"/>
  </w:num>
  <w:num w:numId="30">
    <w:abstractNumId w:val="25"/>
  </w:num>
  <w:num w:numId="31">
    <w:abstractNumId w:val="37"/>
  </w:num>
  <w:num w:numId="32">
    <w:abstractNumId w:val="21"/>
  </w:num>
  <w:num w:numId="33">
    <w:abstractNumId w:val="36"/>
  </w:num>
  <w:num w:numId="34">
    <w:abstractNumId w:val="12"/>
  </w:num>
  <w:num w:numId="35">
    <w:abstractNumId w:val="15"/>
  </w:num>
  <w:num w:numId="36">
    <w:abstractNumId w:val="29"/>
  </w:num>
  <w:num w:numId="37">
    <w:abstractNumId w:val="2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0566"/>
    <w:rsid w:val="00000A4D"/>
    <w:rsid w:val="0000131B"/>
    <w:rsid w:val="00015B27"/>
    <w:rsid w:val="0002491C"/>
    <w:rsid w:val="00063A3E"/>
    <w:rsid w:val="00072834"/>
    <w:rsid w:val="00072CAC"/>
    <w:rsid w:val="0007681A"/>
    <w:rsid w:val="00080B08"/>
    <w:rsid w:val="00083A26"/>
    <w:rsid w:val="0009226C"/>
    <w:rsid w:val="000A542E"/>
    <w:rsid w:val="00102B6B"/>
    <w:rsid w:val="001052D4"/>
    <w:rsid w:val="0010644B"/>
    <w:rsid w:val="001207F8"/>
    <w:rsid w:val="00121924"/>
    <w:rsid w:val="001279A8"/>
    <w:rsid w:val="0014195F"/>
    <w:rsid w:val="00142506"/>
    <w:rsid w:val="00152609"/>
    <w:rsid w:val="00153E1B"/>
    <w:rsid w:val="00167A40"/>
    <w:rsid w:val="001710BE"/>
    <w:rsid w:val="001A0623"/>
    <w:rsid w:val="001A7C31"/>
    <w:rsid w:val="001B1EBA"/>
    <w:rsid w:val="001B4765"/>
    <w:rsid w:val="001C23B0"/>
    <w:rsid w:val="001D7AAF"/>
    <w:rsid w:val="001F217E"/>
    <w:rsid w:val="00203A7F"/>
    <w:rsid w:val="0021633A"/>
    <w:rsid w:val="002200A1"/>
    <w:rsid w:val="002362BF"/>
    <w:rsid w:val="00241B97"/>
    <w:rsid w:val="00241BF3"/>
    <w:rsid w:val="002425D1"/>
    <w:rsid w:val="00245CB5"/>
    <w:rsid w:val="00246756"/>
    <w:rsid w:val="00251E58"/>
    <w:rsid w:val="00254605"/>
    <w:rsid w:val="00262DED"/>
    <w:rsid w:val="00266D86"/>
    <w:rsid w:val="002728B4"/>
    <w:rsid w:val="0027600C"/>
    <w:rsid w:val="00291E1D"/>
    <w:rsid w:val="00292712"/>
    <w:rsid w:val="002A487D"/>
    <w:rsid w:val="002C2017"/>
    <w:rsid w:val="002C2E29"/>
    <w:rsid w:val="002C3041"/>
    <w:rsid w:val="002D1EE3"/>
    <w:rsid w:val="002F1D80"/>
    <w:rsid w:val="003101F5"/>
    <w:rsid w:val="00310FFE"/>
    <w:rsid w:val="003232A2"/>
    <w:rsid w:val="00325C14"/>
    <w:rsid w:val="003604B2"/>
    <w:rsid w:val="0036422C"/>
    <w:rsid w:val="003710F6"/>
    <w:rsid w:val="00373E32"/>
    <w:rsid w:val="0037578B"/>
    <w:rsid w:val="00386E88"/>
    <w:rsid w:val="003946D4"/>
    <w:rsid w:val="00396585"/>
    <w:rsid w:val="003D5F70"/>
    <w:rsid w:val="003D6E38"/>
    <w:rsid w:val="003D74A0"/>
    <w:rsid w:val="003E1727"/>
    <w:rsid w:val="003E569D"/>
    <w:rsid w:val="003F141C"/>
    <w:rsid w:val="003F56E7"/>
    <w:rsid w:val="004033D8"/>
    <w:rsid w:val="004073F0"/>
    <w:rsid w:val="00412A7D"/>
    <w:rsid w:val="00416B4D"/>
    <w:rsid w:val="00417CFC"/>
    <w:rsid w:val="004A06DC"/>
    <w:rsid w:val="004A1565"/>
    <w:rsid w:val="004A3838"/>
    <w:rsid w:val="004B24ED"/>
    <w:rsid w:val="004B6625"/>
    <w:rsid w:val="004D2D82"/>
    <w:rsid w:val="004D3876"/>
    <w:rsid w:val="004E3D6D"/>
    <w:rsid w:val="004E4552"/>
    <w:rsid w:val="004E6CDF"/>
    <w:rsid w:val="004F779D"/>
    <w:rsid w:val="00527DD8"/>
    <w:rsid w:val="00535935"/>
    <w:rsid w:val="0054149D"/>
    <w:rsid w:val="00553C9D"/>
    <w:rsid w:val="00562A66"/>
    <w:rsid w:val="00596693"/>
    <w:rsid w:val="005B064E"/>
    <w:rsid w:val="005C4232"/>
    <w:rsid w:val="005D51AE"/>
    <w:rsid w:val="006158F4"/>
    <w:rsid w:val="0062674B"/>
    <w:rsid w:val="006363B2"/>
    <w:rsid w:val="00644940"/>
    <w:rsid w:val="00644FF5"/>
    <w:rsid w:val="00651FBD"/>
    <w:rsid w:val="006734F6"/>
    <w:rsid w:val="006818A9"/>
    <w:rsid w:val="006A2D81"/>
    <w:rsid w:val="006C1D0D"/>
    <w:rsid w:val="006D2D4B"/>
    <w:rsid w:val="006E5C0F"/>
    <w:rsid w:val="006F77A8"/>
    <w:rsid w:val="006F7FAC"/>
    <w:rsid w:val="0070601E"/>
    <w:rsid w:val="007106D4"/>
    <w:rsid w:val="00712C72"/>
    <w:rsid w:val="00735FE9"/>
    <w:rsid w:val="00763CAA"/>
    <w:rsid w:val="00765F66"/>
    <w:rsid w:val="00783147"/>
    <w:rsid w:val="0078664F"/>
    <w:rsid w:val="00790295"/>
    <w:rsid w:val="0079150D"/>
    <w:rsid w:val="007B11F4"/>
    <w:rsid w:val="007B4883"/>
    <w:rsid w:val="007C3FA6"/>
    <w:rsid w:val="007C62FB"/>
    <w:rsid w:val="007D3ACC"/>
    <w:rsid w:val="007D4B4B"/>
    <w:rsid w:val="007D585A"/>
    <w:rsid w:val="007D5A12"/>
    <w:rsid w:val="007E15DF"/>
    <w:rsid w:val="007E59F9"/>
    <w:rsid w:val="007F7023"/>
    <w:rsid w:val="0080015A"/>
    <w:rsid w:val="00805363"/>
    <w:rsid w:val="00810BCD"/>
    <w:rsid w:val="00812C98"/>
    <w:rsid w:val="00814D92"/>
    <w:rsid w:val="0083181D"/>
    <w:rsid w:val="00843EB2"/>
    <w:rsid w:val="00865572"/>
    <w:rsid w:val="00874BBC"/>
    <w:rsid w:val="00877C5A"/>
    <w:rsid w:val="00887DC1"/>
    <w:rsid w:val="00892135"/>
    <w:rsid w:val="0089539D"/>
    <w:rsid w:val="00895449"/>
    <w:rsid w:val="00897879"/>
    <w:rsid w:val="008A6870"/>
    <w:rsid w:val="008C0B96"/>
    <w:rsid w:val="008C2DDC"/>
    <w:rsid w:val="008C7516"/>
    <w:rsid w:val="008D35AA"/>
    <w:rsid w:val="008E53F1"/>
    <w:rsid w:val="008E6EC7"/>
    <w:rsid w:val="008F0D63"/>
    <w:rsid w:val="008F1308"/>
    <w:rsid w:val="008F2C35"/>
    <w:rsid w:val="008F6665"/>
    <w:rsid w:val="00900B18"/>
    <w:rsid w:val="00901268"/>
    <w:rsid w:val="00904591"/>
    <w:rsid w:val="00905E5F"/>
    <w:rsid w:val="009064E6"/>
    <w:rsid w:val="0091204F"/>
    <w:rsid w:val="009203DB"/>
    <w:rsid w:val="00923CD4"/>
    <w:rsid w:val="0093010C"/>
    <w:rsid w:val="00930EFE"/>
    <w:rsid w:val="00934D90"/>
    <w:rsid w:val="00943386"/>
    <w:rsid w:val="009456B6"/>
    <w:rsid w:val="00957589"/>
    <w:rsid w:val="00966D06"/>
    <w:rsid w:val="0097435D"/>
    <w:rsid w:val="00982412"/>
    <w:rsid w:val="00983A8D"/>
    <w:rsid w:val="00994B5D"/>
    <w:rsid w:val="009A0DB8"/>
    <w:rsid w:val="009A7257"/>
    <w:rsid w:val="009D0F04"/>
    <w:rsid w:val="009D560F"/>
    <w:rsid w:val="009D6E0A"/>
    <w:rsid w:val="009E1E33"/>
    <w:rsid w:val="009F76B4"/>
    <w:rsid w:val="00A14672"/>
    <w:rsid w:val="00A176DA"/>
    <w:rsid w:val="00A267D2"/>
    <w:rsid w:val="00A26BD6"/>
    <w:rsid w:val="00A376E6"/>
    <w:rsid w:val="00A443CF"/>
    <w:rsid w:val="00A6611D"/>
    <w:rsid w:val="00A740D8"/>
    <w:rsid w:val="00A82CB7"/>
    <w:rsid w:val="00A919FE"/>
    <w:rsid w:val="00A942C1"/>
    <w:rsid w:val="00AA2F03"/>
    <w:rsid w:val="00AC31DE"/>
    <w:rsid w:val="00AC36F7"/>
    <w:rsid w:val="00AC48C4"/>
    <w:rsid w:val="00AC63A4"/>
    <w:rsid w:val="00AD239E"/>
    <w:rsid w:val="00B10265"/>
    <w:rsid w:val="00B16A99"/>
    <w:rsid w:val="00B21211"/>
    <w:rsid w:val="00B35784"/>
    <w:rsid w:val="00B55AED"/>
    <w:rsid w:val="00B733A7"/>
    <w:rsid w:val="00B75C91"/>
    <w:rsid w:val="00B938EF"/>
    <w:rsid w:val="00B975AD"/>
    <w:rsid w:val="00BB3BFD"/>
    <w:rsid w:val="00BC3266"/>
    <w:rsid w:val="00BC45FB"/>
    <w:rsid w:val="00BF148D"/>
    <w:rsid w:val="00C23B1A"/>
    <w:rsid w:val="00C310EB"/>
    <w:rsid w:val="00C42451"/>
    <w:rsid w:val="00C66C4F"/>
    <w:rsid w:val="00C7416F"/>
    <w:rsid w:val="00C7487D"/>
    <w:rsid w:val="00C84526"/>
    <w:rsid w:val="00C9176A"/>
    <w:rsid w:val="00CF1AA2"/>
    <w:rsid w:val="00D134C5"/>
    <w:rsid w:val="00D17774"/>
    <w:rsid w:val="00D2739D"/>
    <w:rsid w:val="00D352FD"/>
    <w:rsid w:val="00D63620"/>
    <w:rsid w:val="00D8410D"/>
    <w:rsid w:val="00D867D7"/>
    <w:rsid w:val="00DA7544"/>
    <w:rsid w:val="00DB4426"/>
    <w:rsid w:val="00DB7060"/>
    <w:rsid w:val="00DC04D7"/>
    <w:rsid w:val="00DE11F0"/>
    <w:rsid w:val="00DE3153"/>
    <w:rsid w:val="00DF5CC7"/>
    <w:rsid w:val="00E06736"/>
    <w:rsid w:val="00E1272A"/>
    <w:rsid w:val="00E13C27"/>
    <w:rsid w:val="00E151A9"/>
    <w:rsid w:val="00E27E97"/>
    <w:rsid w:val="00E33BBD"/>
    <w:rsid w:val="00E374F2"/>
    <w:rsid w:val="00E45103"/>
    <w:rsid w:val="00E55A60"/>
    <w:rsid w:val="00E62778"/>
    <w:rsid w:val="00E63D38"/>
    <w:rsid w:val="00E665B9"/>
    <w:rsid w:val="00E75B5D"/>
    <w:rsid w:val="00E84D73"/>
    <w:rsid w:val="00E9470A"/>
    <w:rsid w:val="00EA01E6"/>
    <w:rsid w:val="00EA3DE8"/>
    <w:rsid w:val="00EA758F"/>
    <w:rsid w:val="00ED4A6F"/>
    <w:rsid w:val="00EF3A3A"/>
    <w:rsid w:val="00EF4BD3"/>
    <w:rsid w:val="00F173B0"/>
    <w:rsid w:val="00F628D6"/>
    <w:rsid w:val="00F67051"/>
    <w:rsid w:val="00F74CB9"/>
    <w:rsid w:val="00F86A1E"/>
    <w:rsid w:val="00FA5E88"/>
    <w:rsid w:val="00FD27ED"/>
    <w:rsid w:val="00FF06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E6"/>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A376E6"/>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A376E6"/>
    <w:rPr>
      <w:sz w:val="36"/>
      <w:szCs w:val="52"/>
    </w:rPr>
  </w:style>
  <w:style w:type="paragraph" w:customStyle="1" w:styleId="Cover3-Haknesset">
    <w:name w:val="Cover 3-Haknesset"/>
    <w:basedOn w:val="Cover1-Reshumot"/>
    <w:rsid w:val="00A376E6"/>
    <w:rPr>
      <w:b/>
      <w:bCs/>
      <w:spacing w:val="60"/>
    </w:rPr>
  </w:style>
  <w:style w:type="paragraph" w:customStyle="1" w:styleId="Cover4-Date">
    <w:name w:val="Cover 4-Date"/>
    <w:basedOn w:val="a"/>
    <w:rsid w:val="00A376E6"/>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A376E6"/>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A376E6"/>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A376E6"/>
    <w:pPr>
      <w:spacing w:before="120" w:after="120"/>
    </w:pPr>
    <w:rPr>
      <w:color w:val="FF0000"/>
      <w:w w:val="80"/>
    </w:rPr>
  </w:style>
  <w:style w:type="paragraph" w:styleId="a3">
    <w:name w:val="endnote text"/>
    <w:basedOn w:val="a"/>
    <w:semiHidden/>
    <w:rsid w:val="00A376E6"/>
    <w:pPr>
      <w:ind w:left="227" w:hanging="227"/>
    </w:pPr>
    <w:rPr>
      <w:sz w:val="14"/>
      <w:szCs w:val="22"/>
    </w:rPr>
  </w:style>
  <w:style w:type="paragraph" w:customStyle="1" w:styleId="TableText">
    <w:name w:val="Table Text"/>
    <w:basedOn w:val="a"/>
    <w:rsid w:val="00A376E6"/>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A376E6"/>
  </w:style>
  <w:style w:type="paragraph" w:customStyle="1" w:styleId="TableBlock">
    <w:name w:val="Table Block"/>
    <w:basedOn w:val="TableText"/>
    <w:link w:val="TableBlock0"/>
    <w:rsid w:val="00A376E6"/>
    <w:pPr>
      <w:ind w:right="0"/>
      <w:jc w:val="both"/>
    </w:pPr>
  </w:style>
  <w:style w:type="paragraph" w:customStyle="1" w:styleId="TableHead">
    <w:name w:val="Table Head"/>
    <w:basedOn w:val="TableText"/>
    <w:rsid w:val="00A376E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A376E6"/>
  </w:style>
  <w:style w:type="paragraph" w:customStyle="1" w:styleId="Hesber">
    <w:name w:val="Hesber"/>
    <w:basedOn w:val="a"/>
    <w:rsid w:val="00A376E6"/>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A376E6"/>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A376E6"/>
    <w:rPr>
      <w:vertAlign w:val="superscript"/>
    </w:rPr>
  </w:style>
  <w:style w:type="paragraph" w:customStyle="1" w:styleId="HesberHeading">
    <w:name w:val="Hesber Heading"/>
    <w:basedOn w:val="Hesber"/>
    <w:rsid w:val="00A376E6"/>
    <w:pPr>
      <w:tabs>
        <w:tab w:val="left" w:pos="624"/>
        <w:tab w:val="left" w:pos="1247"/>
      </w:tabs>
      <w:ind w:firstLine="0"/>
    </w:pPr>
    <w:rPr>
      <w:b/>
      <w:bCs/>
    </w:rPr>
  </w:style>
  <w:style w:type="paragraph" w:customStyle="1" w:styleId="HesberWriters">
    <w:name w:val="Hesber Writers"/>
    <w:basedOn w:val="Hesber"/>
    <w:rsid w:val="00A376E6"/>
    <w:pPr>
      <w:spacing w:before="120" w:after="6000"/>
      <w:ind w:left="1418" w:firstLine="0"/>
      <w:jc w:val="right"/>
    </w:pPr>
    <w:rPr>
      <w:b/>
      <w:bCs/>
    </w:rPr>
  </w:style>
  <w:style w:type="paragraph" w:customStyle="1" w:styleId="Hesber1st">
    <w:name w:val="Hesber 1st"/>
    <w:basedOn w:val="Hesber"/>
    <w:rsid w:val="00A376E6"/>
    <w:pPr>
      <w:tabs>
        <w:tab w:val="left" w:pos="680"/>
        <w:tab w:val="left" w:pos="1020"/>
      </w:tabs>
      <w:ind w:firstLine="0"/>
    </w:pPr>
  </w:style>
  <w:style w:type="character" w:styleId="a7">
    <w:name w:val="endnote reference"/>
    <w:basedOn w:val="a0"/>
    <w:semiHidden/>
    <w:rsid w:val="00A376E6"/>
    <w:rPr>
      <w:vertAlign w:val="superscript"/>
    </w:rPr>
  </w:style>
  <w:style w:type="paragraph" w:customStyle="1" w:styleId="TableBlockOutdent">
    <w:name w:val="Table BlockOutdent"/>
    <w:basedOn w:val="TableBlock"/>
    <w:rsid w:val="00A376E6"/>
    <w:pPr>
      <w:ind w:left="624" w:hanging="624"/>
    </w:pPr>
  </w:style>
  <w:style w:type="paragraph" w:styleId="a8">
    <w:name w:val="header"/>
    <w:basedOn w:val="a"/>
    <w:rsid w:val="00A376E6"/>
    <w:pPr>
      <w:tabs>
        <w:tab w:val="center" w:pos="4153"/>
        <w:tab w:val="right" w:pos="8306"/>
      </w:tabs>
    </w:pPr>
  </w:style>
  <w:style w:type="paragraph" w:styleId="a9">
    <w:name w:val="footer"/>
    <w:basedOn w:val="a"/>
    <w:rsid w:val="00A376E6"/>
    <w:pPr>
      <w:tabs>
        <w:tab w:val="center" w:pos="4153"/>
        <w:tab w:val="right" w:pos="8306"/>
      </w:tabs>
    </w:pPr>
  </w:style>
  <w:style w:type="paragraph" w:customStyle="1" w:styleId="HeadDivreiHesber">
    <w:name w:val="Head DivreiHesber"/>
    <w:basedOn w:val="a"/>
    <w:rsid w:val="00A376E6"/>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A376E6"/>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A376E6"/>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paragraph" w:customStyle="1" w:styleId="Style5">
    <w:name w:val="Style5"/>
    <w:basedOn w:val="a"/>
    <w:rsid w:val="00790295"/>
    <w:pPr>
      <w:bidi w:val="0"/>
      <w:spacing w:before="0" w:line="322" w:lineRule="exact"/>
      <w:ind w:firstLine="0"/>
      <w:jc w:val="right"/>
      <w:textAlignment w:val="auto"/>
    </w:pPr>
    <w:rPr>
      <w:rFonts w:ascii="David" w:eastAsia="Times New Roman" w:hAnsi="Times New Roman" w:cs="Times New Roman"/>
      <w:color w:val="auto"/>
      <w:spacing w:val="0"/>
      <w:sz w:val="24"/>
      <w:szCs w:val="24"/>
      <w:lang w:eastAsia="en-US"/>
    </w:rPr>
  </w:style>
  <w:style w:type="paragraph" w:customStyle="1" w:styleId="Style14">
    <w:name w:val="Style14"/>
    <w:basedOn w:val="a"/>
    <w:rsid w:val="00790295"/>
    <w:pPr>
      <w:bidi w:val="0"/>
      <w:spacing w:before="0" w:line="376" w:lineRule="exact"/>
      <w:ind w:firstLine="0"/>
      <w:textAlignment w:val="auto"/>
    </w:pPr>
    <w:rPr>
      <w:rFonts w:ascii="David" w:eastAsia="Times New Roman" w:hAnsi="Times New Roman" w:cs="Times New Roman"/>
      <w:color w:val="auto"/>
      <w:spacing w:val="0"/>
      <w:sz w:val="24"/>
      <w:szCs w:val="24"/>
      <w:lang w:eastAsia="en-US"/>
    </w:rPr>
  </w:style>
  <w:style w:type="character" w:customStyle="1" w:styleId="a5">
    <w:name w:val="טקסט הערת שוליים תו"/>
    <w:link w:val="a4"/>
    <w:rsid w:val="00790295"/>
    <w:rPr>
      <w:rFonts w:ascii="Arial" w:eastAsia="Arial Unicode MS" w:hAnsi="Arial" w:cs="David"/>
      <w:snapToGrid w:val="0"/>
      <w:color w:val="000000"/>
      <w:sz w:val="14"/>
      <w:lang w:eastAsia="ja-JP"/>
    </w:rPr>
  </w:style>
  <w:style w:type="character" w:customStyle="1" w:styleId="TableBlock0">
    <w:name w:val="Table Block תו"/>
    <w:link w:val="TableBlock"/>
    <w:rsid w:val="00790295"/>
    <w:rPr>
      <w:rFonts w:ascii="Arial" w:eastAsia="Arial Unicode MS" w:hAnsi="Arial" w:cs="David"/>
      <w:snapToGrid w:val="0"/>
      <w:color w:val="000000"/>
      <w:szCs w:val="26"/>
      <w:lang w:eastAsia="ja-JP"/>
    </w:rPr>
  </w:style>
  <w:style w:type="paragraph" w:customStyle="1" w:styleId="P00">
    <w:name w:val="P00"/>
    <w:rsid w:val="0079029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default">
    <w:name w:val="default"/>
    <w:rsid w:val="00790295"/>
    <w:rPr>
      <w:rFonts w:ascii="Times New Roman" w:hAnsi="Times New Roman" w:cs="Times New Roman"/>
      <w:sz w:val="26"/>
      <w:szCs w:val="26"/>
    </w:rPr>
  </w:style>
  <w:style w:type="paragraph" w:customStyle="1" w:styleId="footnote">
    <w:name w:val="footnote"/>
    <w:basedOn w:val="P00"/>
    <w:rsid w:val="00790295"/>
    <w:pPr>
      <w:tabs>
        <w:tab w:val="clear" w:pos="624"/>
        <w:tab w:val="clear" w:pos="1021"/>
        <w:tab w:val="clear" w:pos="1474"/>
        <w:tab w:val="clear" w:pos="1928"/>
        <w:tab w:val="clear" w:pos="2381"/>
        <w:tab w:val="clear" w:pos="2835"/>
        <w:tab w:val="clear" w:pos="6259"/>
      </w:tabs>
      <w:spacing w:before="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E6"/>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A376E6"/>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A376E6"/>
    <w:rPr>
      <w:sz w:val="36"/>
      <w:szCs w:val="52"/>
    </w:rPr>
  </w:style>
  <w:style w:type="paragraph" w:customStyle="1" w:styleId="Cover3-Haknesset">
    <w:name w:val="Cover 3-Haknesset"/>
    <w:basedOn w:val="Cover1-Reshumot"/>
    <w:rsid w:val="00A376E6"/>
    <w:rPr>
      <w:b/>
      <w:bCs/>
      <w:spacing w:val="60"/>
    </w:rPr>
  </w:style>
  <w:style w:type="paragraph" w:customStyle="1" w:styleId="Cover4-Date">
    <w:name w:val="Cover 4-Date"/>
    <w:basedOn w:val="a"/>
    <w:rsid w:val="00A376E6"/>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A376E6"/>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A376E6"/>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A376E6"/>
    <w:pPr>
      <w:spacing w:before="120" w:after="120"/>
    </w:pPr>
    <w:rPr>
      <w:color w:val="FF0000"/>
      <w:w w:val="80"/>
    </w:rPr>
  </w:style>
  <w:style w:type="paragraph" w:styleId="a3">
    <w:name w:val="endnote text"/>
    <w:basedOn w:val="a"/>
    <w:semiHidden/>
    <w:rsid w:val="00A376E6"/>
    <w:pPr>
      <w:ind w:left="227" w:hanging="227"/>
    </w:pPr>
    <w:rPr>
      <w:sz w:val="14"/>
      <w:szCs w:val="22"/>
    </w:rPr>
  </w:style>
  <w:style w:type="paragraph" w:customStyle="1" w:styleId="TableText">
    <w:name w:val="Table Text"/>
    <w:basedOn w:val="a"/>
    <w:rsid w:val="00A376E6"/>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A376E6"/>
  </w:style>
  <w:style w:type="paragraph" w:customStyle="1" w:styleId="TableBlock">
    <w:name w:val="Table Block"/>
    <w:basedOn w:val="TableText"/>
    <w:link w:val="TableBlock0"/>
    <w:rsid w:val="00A376E6"/>
    <w:pPr>
      <w:ind w:right="0"/>
      <w:jc w:val="both"/>
    </w:pPr>
  </w:style>
  <w:style w:type="paragraph" w:customStyle="1" w:styleId="TableHead">
    <w:name w:val="Table Head"/>
    <w:basedOn w:val="TableText"/>
    <w:rsid w:val="00A376E6"/>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A376E6"/>
  </w:style>
  <w:style w:type="paragraph" w:customStyle="1" w:styleId="Hesber">
    <w:name w:val="Hesber"/>
    <w:basedOn w:val="a"/>
    <w:rsid w:val="00A376E6"/>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A376E6"/>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A376E6"/>
    <w:rPr>
      <w:vertAlign w:val="superscript"/>
    </w:rPr>
  </w:style>
  <w:style w:type="paragraph" w:customStyle="1" w:styleId="HesberHeading">
    <w:name w:val="Hesber Heading"/>
    <w:basedOn w:val="Hesber"/>
    <w:rsid w:val="00A376E6"/>
    <w:pPr>
      <w:tabs>
        <w:tab w:val="left" w:pos="624"/>
        <w:tab w:val="left" w:pos="1247"/>
      </w:tabs>
      <w:ind w:firstLine="0"/>
    </w:pPr>
    <w:rPr>
      <w:b/>
      <w:bCs/>
    </w:rPr>
  </w:style>
  <w:style w:type="paragraph" w:customStyle="1" w:styleId="HesberWriters">
    <w:name w:val="Hesber Writers"/>
    <w:basedOn w:val="Hesber"/>
    <w:rsid w:val="00A376E6"/>
    <w:pPr>
      <w:spacing w:before="120" w:after="6000"/>
      <w:ind w:left="1418" w:firstLine="0"/>
      <w:jc w:val="right"/>
    </w:pPr>
    <w:rPr>
      <w:b/>
      <w:bCs/>
    </w:rPr>
  </w:style>
  <w:style w:type="paragraph" w:customStyle="1" w:styleId="Hesber1st">
    <w:name w:val="Hesber 1st"/>
    <w:basedOn w:val="Hesber"/>
    <w:rsid w:val="00A376E6"/>
    <w:pPr>
      <w:tabs>
        <w:tab w:val="left" w:pos="680"/>
        <w:tab w:val="left" w:pos="1020"/>
      </w:tabs>
      <w:ind w:firstLine="0"/>
    </w:pPr>
  </w:style>
  <w:style w:type="character" w:styleId="a7">
    <w:name w:val="endnote reference"/>
    <w:basedOn w:val="a0"/>
    <w:semiHidden/>
    <w:rsid w:val="00A376E6"/>
    <w:rPr>
      <w:vertAlign w:val="superscript"/>
    </w:rPr>
  </w:style>
  <w:style w:type="paragraph" w:customStyle="1" w:styleId="TableBlockOutdent">
    <w:name w:val="Table BlockOutdent"/>
    <w:basedOn w:val="TableBlock"/>
    <w:rsid w:val="00A376E6"/>
    <w:pPr>
      <w:ind w:left="624" w:hanging="624"/>
    </w:pPr>
  </w:style>
  <w:style w:type="paragraph" w:styleId="a8">
    <w:name w:val="header"/>
    <w:basedOn w:val="a"/>
    <w:rsid w:val="00A376E6"/>
    <w:pPr>
      <w:tabs>
        <w:tab w:val="center" w:pos="4153"/>
        <w:tab w:val="right" w:pos="8306"/>
      </w:tabs>
    </w:pPr>
  </w:style>
  <w:style w:type="paragraph" w:styleId="a9">
    <w:name w:val="footer"/>
    <w:basedOn w:val="a"/>
    <w:rsid w:val="00A376E6"/>
    <w:pPr>
      <w:tabs>
        <w:tab w:val="center" w:pos="4153"/>
        <w:tab w:val="right" w:pos="8306"/>
      </w:tabs>
    </w:pPr>
  </w:style>
  <w:style w:type="paragraph" w:customStyle="1" w:styleId="HeadDivreiHesber">
    <w:name w:val="Head DivreiHesber"/>
    <w:basedOn w:val="a"/>
    <w:rsid w:val="00A376E6"/>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A376E6"/>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A376E6"/>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paragraph" w:customStyle="1" w:styleId="Style5">
    <w:name w:val="Style5"/>
    <w:basedOn w:val="a"/>
    <w:rsid w:val="00790295"/>
    <w:pPr>
      <w:bidi w:val="0"/>
      <w:spacing w:before="0" w:line="322" w:lineRule="exact"/>
      <w:ind w:firstLine="0"/>
      <w:jc w:val="right"/>
      <w:textAlignment w:val="auto"/>
    </w:pPr>
    <w:rPr>
      <w:rFonts w:ascii="David" w:eastAsia="Times New Roman" w:hAnsi="Times New Roman" w:cs="Times New Roman"/>
      <w:color w:val="auto"/>
      <w:spacing w:val="0"/>
      <w:sz w:val="24"/>
      <w:szCs w:val="24"/>
      <w:lang w:eastAsia="en-US"/>
    </w:rPr>
  </w:style>
  <w:style w:type="paragraph" w:customStyle="1" w:styleId="Style14">
    <w:name w:val="Style14"/>
    <w:basedOn w:val="a"/>
    <w:rsid w:val="00790295"/>
    <w:pPr>
      <w:bidi w:val="0"/>
      <w:spacing w:before="0" w:line="376" w:lineRule="exact"/>
      <w:ind w:firstLine="0"/>
      <w:textAlignment w:val="auto"/>
    </w:pPr>
    <w:rPr>
      <w:rFonts w:ascii="David" w:eastAsia="Times New Roman" w:hAnsi="Times New Roman" w:cs="Times New Roman"/>
      <w:color w:val="auto"/>
      <w:spacing w:val="0"/>
      <w:sz w:val="24"/>
      <w:szCs w:val="24"/>
      <w:lang w:eastAsia="en-US"/>
    </w:rPr>
  </w:style>
  <w:style w:type="character" w:customStyle="1" w:styleId="a5">
    <w:name w:val="טקסט הערת שוליים תו"/>
    <w:link w:val="a4"/>
    <w:rsid w:val="00790295"/>
    <w:rPr>
      <w:rFonts w:ascii="Arial" w:eastAsia="Arial Unicode MS" w:hAnsi="Arial" w:cs="David"/>
      <w:snapToGrid w:val="0"/>
      <w:color w:val="000000"/>
      <w:sz w:val="14"/>
      <w:lang w:eastAsia="ja-JP"/>
    </w:rPr>
  </w:style>
  <w:style w:type="character" w:customStyle="1" w:styleId="TableBlock0">
    <w:name w:val="Table Block תו"/>
    <w:link w:val="TableBlock"/>
    <w:rsid w:val="00790295"/>
    <w:rPr>
      <w:rFonts w:ascii="Arial" w:eastAsia="Arial Unicode MS" w:hAnsi="Arial" w:cs="David"/>
      <w:snapToGrid w:val="0"/>
      <w:color w:val="000000"/>
      <w:szCs w:val="26"/>
      <w:lang w:eastAsia="ja-JP"/>
    </w:rPr>
  </w:style>
  <w:style w:type="paragraph" w:customStyle="1" w:styleId="P00">
    <w:name w:val="P00"/>
    <w:rsid w:val="0079029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character" w:customStyle="1" w:styleId="default">
    <w:name w:val="default"/>
    <w:rsid w:val="00790295"/>
    <w:rPr>
      <w:rFonts w:ascii="Times New Roman" w:hAnsi="Times New Roman" w:cs="Times New Roman"/>
      <w:sz w:val="26"/>
      <w:szCs w:val="26"/>
    </w:rPr>
  </w:style>
  <w:style w:type="paragraph" w:customStyle="1" w:styleId="footnote">
    <w:name w:val="footnote"/>
    <w:basedOn w:val="P00"/>
    <w:rsid w:val="00790295"/>
    <w:pPr>
      <w:tabs>
        <w:tab w:val="clear" w:pos="624"/>
        <w:tab w:val="clear" w:pos="1021"/>
        <w:tab w:val="clear" w:pos="1474"/>
        <w:tab w:val="clear" w:pos="1928"/>
        <w:tab w:val="clear" w:pos="2381"/>
        <w:tab w:val="clear" w:pos="2835"/>
        <w:tab w:val="clear" w:pos="6259"/>
      </w:tabs>
      <w:spacing w:before="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0714">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CC8A-B601-49AE-BEED-5F87E3B01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95AB4063-9030-448F-B3AF-FAA2758D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3326</Words>
  <Characters>16635</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35</cp:revision>
  <cp:lastPrinted>2015-11-19T11:45:00Z</cp:lastPrinted>
  <dcterms:created xsi:type="dcterms:W3CDTF">2015-04-20T09:58:00Z</dcterms:created>
  <dcterms:modified xsi:type="dcterms:W3CDTF">2015-11-19T11:49:00Z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569400</vt:r8>
  </property>
</Properties>
</file>