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563672</w:t>
      </w:r>
      <w:bookmarkEnd w:id="0"/>
    </w:p>
    <w:p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:rsidR="00E13C27" w:rsidRDefault="008F6665" w:rsidP="00C63E03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מירב בן ארי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רועי פולקמן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רחל עזריה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יואל חסון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יחיאל חיליק בר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מיקי לוי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יעל גרמן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אלי כהן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טלי פלוסקוב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מיכאל אורן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יואב קיש</w:t>
      </w:r>
      <w:bookmarkEnd w:id="3"/>
    </w:p>
    <w:p w:rsidR="00E13C27" w:rsidRPr="00CF1AA2" w:rsidRDefault="007D585A" w:rsidP="00CF1AA2">
      <w:pPr>
        <w:pStyle w:val="David"/>
        <w:ind w:left="3544"/>
        <w:rPr>
          <w:b/>
          <w:bCs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:rsidR="00E13C27" w:rsidRPr="00E06736" w:rsidRDefault="0014195F" w:rsidP="00416B4D">
      <w:pPr>
        <w:pStyle w:val="David"/>
        <w:ind w:left="3544"/>
        <w:rPr>
          <w:rtl/>
        </w:rPr>
      </w:pPr>
      <w:r w:rsidRPr="00CF1AA2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6961CE" wp14:editId="7F6961CF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5.55pt,3.75pt" coordsize="610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 filled="f">
                <v:path arrowok="t" o:connecttype="custom" o:connectlocs="0,17145;3879215,0" o:connectangles="0,0"/>
              </v:polyline>
            </w:pict>
          </mc:Fallback>
        </mc:AlternateContent>
      </w:r>
      <w:r w:rsidR="00E13C27" w:rsidRPr="00E06736">
        <w:rPr>
          <w:rFonts w:hint="cs"/>
          <w:rtl/>
        </w:rPr>
        <w:tab/>
      </w:r>
      <w:r w:rsidR="00416B4D">
        <w:tab/>
      </w:r>
      <w:r w:rsidR="00FA5E88">
        <w:tab/>
      </w:r>
      <w:r w:rsidR="00E13C27" w:rsidRPr="00E06736">
        <w:rPr>
          <w:rFonts w:hint="cs"/>
          <w:rtl/>
        </w:rPr>
        <w:tab/>
      </w:r>
      <w:r w:rsidR="00E06736" w:rsidRPr="00E06736">
        <w:tab/>
      </w:r>
      <w:bookmarkStart w:id="6" w:name="Private_Number"/>
      <w:r>
        <w:rPr>
          <w:rFonts w:hint="cs"/>
          <w:rtl/>
        </w:rPr>
        <w:t>פ/1072/20</w:t>
      </w:r>
      <w:bookmarkEnd w:id="6"/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</w:p>
    <w:p w:rsidR="00E13C27" w:rsidRPr="00F67051" w:rsidRDefault="00A443CF" w:rsidP="00C63E03">
      <w:pPr>
        <w:pStyle w:val="HeadHatzaotHok"/>
        <w:spacing w:line="240" w:lineRule="auto"/>
        <w:rPr>
          <w:rtl/>
        </w:rPr>
      </w:pPr>
      <w:bookmarkStart w:id="7" w:name="LGS_Subject"/>
      <w:r>
        <w:rPr>
          <w:rFonts w:hint="cs"/>
          <w:rtl/>
        </w:rPr>
        <w:t xml:space="preserve">הצעת חוק הגנת הצרכן (תיקון </w:t>
      </w:r>
      <w:r w:rsidR="00C63E03">
        <w:rPr>
          <w:rFonts w:hint="eastAsia"/>
          <w:rtl/>
        </w:rPr>
        <w:t>–</w:t>
      </w:r>
      <w:r>
        <w:rPr>
          <w:rFonts w:hint="cs"/>
          <w:rtl/>
        </w:rPr>
        <w:t xml:space="preserve"> הודעה במסרון על סיום עסקה לתקופה קצובה), התשע"ה</w:t>
      </w:r>
      <w:r w:rsidR="00C63E03">
        <w:rPr>
          <w:rFonts w:hint="eastAsia"/>
          <w:rtl/>
        </w:rPr>
        <w:t>–</w:t>
      </w:r>
      <w:r>
        <w:rPr>
          <w:rFonts w:hint="cs"/>
          <w:rtl/>
        </w:rPr>
        <w:t>2015</w:t>
      </w:r>
      <w:bookmarkEnd w:id="7"/>
    </w:p>
    <w:p w:rsidR="00E13C27" w:rsidRDefault="00E13C27" w:rsidP="0000131B">
      <w:pPr>
        <w:pStyle w:val="HeadDivreiHesber"/>
        <w:spacing w:before="0" w:after="0" w:line="240" w:lineRule="auto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F1D80" w:rsidTr="000D3975">
        <w:trPr>
          <w:cantSplit/>
          <w:trHeight w:val="60"/>
        </w:trPr>
        <w:tc>
          <w:tcPr>
            <w:tcW w:w="1871" w:type="dxa"/>
          </w:tcPr>
          <w:p w:rsidR="002F1D80" w:rsidRDefault="008D234F" w:rsidP="00D27FF9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 xml:space="preserve">תיקון </w:t>
            </w:r>
            <w:r w:rsidR="00111354">
              <w:rPr>
                <w:rFonts w:hint="cs"/>
                <w:rtl/>
              </w:rPr>
              <w:t>סעיף 13א</w:t>
            </w:r>
          </w:p>
        </w:tc>
        <w:tc>
          <w:tcPr>
            <w:tcW w:w="624" w:type="dxa"/>
          </w:tcPr>
          <w:p w:rsidR="002F1D80" w:rsidRDefault="008D234F" w:rsidP="00D27FF9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:rsidR="002F1D80" w:rsidRPr="00C34DE2" w:rsidRDefault="008D234F" w:rsidP="00C63E03">
            <w:pPr>
              <w:pStyle w:val="TableHead"/>
              <w:keepLines w:val="0"/>
              <w:jc w:val="left"/>
            </w:pPr>
            <w:r w:rsidRPr="00D27FF9">
              <w:rPr>
                <w:rFonts w:hint="eastAsia"/>
                <w:b w:val="0"/>
                <w:bCs w:val="0"/>
                <w:rtl/>
              </w:rPr>
              <w:t>בחוק</w:t>
            </w:r>
            <w:r w:rsidRPr="00D27FF9">
              <w:rPr>
                <w:b w:val="0"/>
                <w:bCs w:val="0"/>
                <w:rtl/>
              </w:rPr>
              <w:t xml:space="preserve"> הגנת </w:t>
            </w:r>
            <w:r w:rsidRPr="00D27FF9">
              <w:rPr>
                <w:rFonts w:hint="eastAsia"/>
                <w:b w:val="0"/>
                <w:bCs w:val="0"/>
                <w:rtl/>
              </w:rPr>
              <w:t>הצרכן</w:t>
            </w:r>
            <w:r w:rsidRPr="00D27FF9">
              <w:rPr>
                <w:b w:val="0"/>
                <w:bCs w:val="0"/>
                <w:rtl/>
              </w:rPr>
              <w:t xml:space="preserve">, </w:t>
            </w:r>
            <w:r w:rsidRPr="00D27FF9">
              <w:rPr>
                <w:rFonts w:hint="eastAsia"/>
                <w:b w:val="0"/>
                <w:bCs w:val="0"/>
                <w:rtl/>
              </w:rPr>
              <w:t>התשמ</w:t>
            </w:r>
            <w:r w:rsidRPr="00D27FF9">
              <w:rPr>
                <w:b w:val="0"/>
                <w:bCs w:val="0"/>
                <w:rtl/>
              </w:rPr>
              <w:t>"</w:t>
            </w:r>
            <w:r w:rsidRPr="001256D9">
              <w:rPr>
                <w:rFonts w:hint="eastAsia"/>
                <w:b w:val="0"/>
                <w:bCs w:val="0"/>
                <w:rtl/>
              </w:rPr>
              <w:t>א</w:t>
            </w:r>
            <w:r w:rsidRPr="00D27FF9">
              <w:rPr>
                <w:rFonts w:hint="eastAsia"/>
                <w:b w:val="0"/>
                <w:bCs w:val="0"/>
                <w:rtl/>
              </w:rPr>
              <w:t>–</w:t>
            </w:r>
            <w:r w:rsidR="00C63E03">
              <w:rPr>
                <w:rFonts w:hint="cs"/>
                <w:b w:val="0"/>
                <w:bCs w:val="0"/>
                <w:rtl/>
              </w:rPr>
              <w:t>1981</w:t>
            </w:r>
            <w:r w:rsidRPr="00D27FF9">
              <w:rPr>
                <w:rStyle w:val="a5"/>
                <w:b w:val="0"/>
                <w:bCs w:val="0"/>
                <w:rtl/>
              </w:rPr>
              <w:footnoteReference w:id="2"/>
            </w:r>
            <w:r w:rsidR="00C63E03">
              <w:rPr>
                <w:rFonts w:hint="cs"/>
                <w:b w:val="0"/>
                <w:bCs w:val="0"/>
                <w:rtl/>
              </w:rPr>
              <w:t>,</w:t>
            </w:r>
            <w:r w:rsidRPr="00D27FF9">
              <w:rPr>
                <w:b w:val="0"/>
                <w:bCs w:val="0"/>
                <w:rtl/>
              </w:rPr>
              <w:t xml:space="preserve"> </w:t>
            </w:r>
            <w:r w:rsidR="001256D9" w:rsidRPr="00D27FF9">
              <w:rPr>
                <w:rFonts w:hint="eastAsia"/>
                <w:b w:val="0"/>
                <w:bCs w:val="0"/>
                <w:rtl/>
              </w:rPr>
              <w:t>בסעיף</w:t>
            </w:r>
            <w:r w:rsidR="001256D9" w:rsidRPr="00D27FF9">
              <w:rPr>
                <w:b w:val="0"/>
                <w:bCs w:val="0"/>
                <w:rtl/>
              </w:rPr>
              <w:t xml:space="preserve"> 13א</w:t>
            </w:r>
            <w:r w:rsidR="00DC7D91">
              <w:rPr>
                <w:rFonts w:hint="cs"/>
                <w:b w:val="0"/>
                <w:bCs w:val="0"/>
                <w:rtl/>
              </w:rPr>
              <w:t>(ב)</w:t>
            </w:r>
            <w:r w:rsidR="001256D9" w:rsidRPr="00D27FF9">
              <w:rPr>
                <w:b w:val="0"/>
                <w:bCs w:val="0"/>
                <w:rtl/>
              </w:rPr>
              <w:t xml:space="preserve">, </w:t>
            </w:r>
            <w:r w:rsidR="001256D9" w:rsidRPr="00D27FF9">
              <w:rPr>
                <w:rFonts w:hint="eastAsia"/>
                <w:b w:val="0"/>
                <w:bCs w:val="0"/>
                <w:rtl/>
              </w:rPr>
              <w:t>אחרי</w:t>
            </w:r>
            <w:r w:rsidR="001256D9" w:rsidRPr="00D27FF9">
              <w:rPr>
                <w:b w:val="0"/>
                <w:bCs w:val="0"/>
                <w:rtl/>
              </w:rPr>
              <w:t xml:space="preserve"> </w:t>
            </w:r>
            <w:r w:rsidR="001256D9" w:rsidRPr="00D27FF9">
              <w:rPr>
                <w:rFonts w:hint="eastAsia"/>
                <w:b w:val="0"/>
                <w:bCs w:val="0"/>
                <w:rtl/>
              </w:rPr>
              <w:t>פסקה</w:t>
            </w:r>
            <w:r w:rsidR="001256D9" w:rsidRPr="00D27FF9">
              <w:rPr>
                <w:b w:val="0"/>
                <w:bCs w:val="0"/>
                <w:rtl/>
              </w:rPr>
              <w:t xml:space="preserve"> (</w:t>
            </w:r>
            <w:r w:rsidR="001256D9">
              <w:rPr>
                <w:rFonts w:hint="cs"/>
                <w:b w:val="0"/>
                <w:bCs w:val="0"/>
                <w:rtl/>
              </w:rPr>
              <w:t>2</w:t>
            </w:r>
            <w:r w:rsidR="001256D9" w:rsidRPr="00D27FF9">
              <w:rPr>
                <w:b w:val="0"/>
                <w:bCs w:val="0"/>
                <w:rtl/>
              </w:rPr>
              <w:t xml:space="preserve">) </w:t>
            </w:r>
            <w:r w:rsidR="00DC7D91">
              <w:rPr>
                <w:rFonts w:hint="cs"/>
                <w:b w:val="0"/>
                <w:bCs w:val="0"/>
                <w:rtl/>
              </w:rPr>
              <w:t xml:space="preserve">יבוא: </w:t>
            </w:r>
          </w:p>
        </w:tc>
      </w:tr>
      <w:tr w:rsidR="00C63E03" w:rsidTr="0095021D">
        <w:trPr>
          <w:cantSplit/>
          <w:trHeight w:val="60"/>
        </w:trPr>
        <w:tc>
          <w:tcPr>
            <w:tcW w:w="1871" w:type="dxa"/>
          </w:tcPr>
          <w:p w:rsidR="00C63E03" w:rsidRDefault="00C63E03">
            <w:pPr>
              <w:pStyle w:val="TableSideHeading"/>
            </w:pPr>
          </w:p>
        </w:tc>
        <w:tc>
          <w:tcPr>
            <w:tcW w:w="624" w:type="dxa"/>
          </w:tcPr>
          <w:p w:rsidR="00C63E03" w:rsidRDefault="00C63E03">
            <w:pPr>
              <w:pStyle w:val="TableText"/>
            </w:pPr>
          </w:p>
        </w:tc>
        <w:tc>
          <w:tcPr>
            <w:tcW w:w="7146" w:type="dxa"/>
          </w:tcPr>
          <w:p w:rsidR="00C63E03" w:rsidRDefault="00C63E03" w:rsidP="00D27FF9">
            <w:pPr>
              <w:pStyle w:val="TableBlock"/>
            </w:pPr>
            <w:r>
              <w:rPr>
                <w:rFonts w:hint="cs"/>
                <w:rtl/>
              </w:rPr>
              <w:t>"(3)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במסרון למספר הטלפון הנייד שמסר הצרכן לעוסק </w:t>
            </w:r>
            <w:r>
              <w:rPr>
                <w:rFonts w:hint="eastAsia"/>
                <w:rtl/>
              </w:rPr>
              <w:t xml:space="preserve">– </w:t>
            </w:r>
            <w:r>
              <w:rPr>
                <w:rFonts w:hint="cs"/>
                <w:rtl/>
              </w:rPr>
              <w:t>אם מסר, 14 ימים לפני מועד סיום העסקה או ההתחייבות."</w:t>
            </w:r>
          </w:p>
        </w:tc>
      </w:tr>
    </w:tbl>
    <w:p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:rsidR="00292260" w:rsidRDefault="00292260" w:rsidP="00C63E03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>לפי חוק הגנת הצרכן</w:t>
      </w:r>
      <w:r w:rsidR="00C63E03">
        <w:rPr>
          <w:rFonts w:hint="cs"/>
          <w:rtl/>
        </w:rPr>
        <w:t>,</w:t>
      </w:r>
      <w:r w:rsidR="00E5494B">
        <w:rPr>
          <w:rFonts w:hint="cs"/>
          <w:rtl/>
        </w:rPr>
        <w:t xml:space="preserve"> </w:t>
      </w:r>
      <w:r w:rsidR="00573926">
        <w:rPr>
          <w:rFonts w:hint="cs"/>
          <w:rtl/>
        </w:rPr>
        <w:t>ה</w:t>
      </w:r>
      <w:r w:rsidR="00E5494B" w:rsidRPr="00E5494B">
        <w:rPr>
          <w:rFonts w:hint="cs"/>
          <w:sz w:val="26"/>
          <w:rtl/>
        </w:rPr>
        <w:t>תשמ"א</w:t>
      </w:r>
      <w:r w:rsidR="00C63E03">
        <w:rPr>
          <w:rFonts w:hint="eastAsia"/>
          <w:sz w:val="26"/>
          <w:rtl/>
        </w:rPr>
        <w:t>–</w:t>
      </w:r>
      <w:r w:rsidR="00E5494B" w:rsidRPr="00E5494B">
        <w:rPr>
          <w:rFonts w:hint="cs"/>
          <w:sz w:val="26"/>
          <w:rtl/>
        </w:rPr>
        <w:t>1981</w:t>
      </w:r>
      <w:r w:rsidR="00573926">
        <w:rPr>
          <w:rFonts w:hint="cs"/>
          <w:rtl/>
        </w:rPr>
        <w:t xml:space="preserve"> (להלן – החוק)</w:t>
      </w:r>
      <w:r>
        <w:rPr>
          <w:rFonts w:hint="cs"/>
          <w:rtl/>
        </w:rPr>
        <w:t xml:space="preserve">, </w:t>
      </w:r>
      <w:r w:rsidR="00323396">
        <w:rPr>
          <w:rFonts w:hint="cs"/>
          <w:rtl/>
        </w:rPr>
        <w:t>עוסק חייב</w:t>
      </w:r>
      <w:r>
        <w:rPr>
          <w:rFonts w:hint="cs"/>
          <w:rtl/>
        </w:rPr>
        <w:t xml:space="preserve"> לעדכן </w:t>
      </w:r>
      <w:r w:rsidR="00E5494B">
        <w:rPr>
          <w:rFonts w:hint="cs"/>
          <w:rtl/>
        </w:rPr>
        <w:t>את לקוחות</w:t>
      </w:r>
      <w:r w:rsidR="00323396">
        <w:rPr>
          <w:rFonts w:hint="cs"/>
          <w:rtl/>
        </w:rPr>
        <w:t>יו</w:t>
      </w:r>
      <w:r w:rsidR="00E5494B">
        <w:rPr>
          <w:rFonts w:hint="cs"/>
          <w:rtl/>
        </w:rPr>
        <w:t xml:space="preserve"> בדבר</w:t>
      </w:r>
      <w:r w:rsidR="00D27FF9">
        <w:rPr>
          <w:rFonts w:hint="cs"/>
          <w:rtl/>
        </w:rPr>
        <w:t xml:space="preserve"> מועד</w:t>
      </w:r>
      <w:r w:rsidR="00E5494B">
        <w:rPr>
          <w:rFonts w:hint="cs"/>
          <w:rtl/>
        </w:rPr>
        <w:t xml:space="preserve"> סיום עסקה קצובה, </w:t>
      </w:r>
      <w:r w:rsidR="00573926">
        <w:rPr>
          <w:rFonts w:hint="cs"/>
          <w:rtl/>
        </w:rPr>
        <w:t xml:space="preserve">בין היתר באמצעות </w:t>
      </w:r>
      <w:r w:rsidR="00323396">
        <w:rPr>
          <w:rFonts w:hint="cs"/>
          <w:rtl/>
        </w:rPr>
        <w:t xml:space="preserve">ציון הדבר </w:t>
      </w:r>
      <w:r w:rsidR="00573926">
        <w:rPr>
          <w:rFonts w:hint="cs"/>
          <w:rtl/>
        </w:rPr>
        <w:t xml:space="preserve">בחשבונית או </w:t>
      </w:r>
      <w:r w:rsidR="00BF063C">
        <w:rPr>
          <w:rFonts w:hint="cs"/>
          <w:rtl/>
        </w:rPr>
        <w:t>ב</w:t>
      </w:r>
      <w:r w:rsidR="00573926">
        <w:rPr>
          <w:rFonts w:hint="cs"/>
          <w:rtl/>
        </w:rPr>
        <w:t>הודעת התשלום הנשלחת לצרכן, החל משלושה חודשים לפני מועד סיום העסקה.</w:t>
      </w:r>
      <w:r w:rsidR="00BF063C">
        <w:rPr>
          <w:rFonts w:hint="cs"/>
          <w:rtl/>
        </w:rPr>
        <w:t xml:space="preserve"> </w:t>
      </w:r>
    </w:p>
    <w:p w:rsidR="00FC1723" w:rsidRDefault="00111354" w:rsidP="00C63E03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 xml:space="preserve">בשנים האחרונות </w:t>
      </w:r>
      <w:r w:rsidR="00E5494B">
        <w:rPr>
          <w:rFonts w:hint="cs"/>
          <w:rtl/>
        </w:rPr>
        <w:t xml:space="preserve">קיימת תופעה לפיה </w:t>
      </w:r>
      <w:r>
        <w:rPr>
          <w:rFonts w:hint="cs"/>
          <w:rtl/>
        </w:rPr>
        <w:t>ציבור הצרכנים מקבל הודעות בדבר הצטרפות למבצעים באמצעות מסרונים לטלפונים הניידים</w:t>
      </w:r>
      <w:r w:rsidR="00FC1723">
        <w:rPr>
          <w:rFonts w:hint="cs"/>
          <w:rtl/>
        </w:rPr>
        <w:t xml:space="preserve"> ש</w:t>
      </w:r>
      <w:r w:rsidR="00D27FF9">
        <w:rPr>
          <w:rFonts w:hint="cs"/>
          <w:rtl/>
        </w:rPr>
        <w:t xml:space="preserve">את מספרם </w:t>
      </w:r>
      <w:r w:rsidR="00FC1723">
        <w:rPr>
          <w:rFonts w:hint="cs"/>
          <w:rtl/>
        </w:rPr>
        <w:t>מסרו לעוסקים בעת ההתקשרות</w:t>
      </w:r>
      <w:r w:rsidR="00292260">
        <w:rPr>
          <w:rFonts w:hint="cs"/>
          <w:rtl/>
        </w:rPr>
        <w:t>.</w:t>
      </w:r>
      <w:r w:rsidR="00FC1723">
        <w:rPr>
          <w:rFonts w:hint="cs"/>
          <w:rtl/>
        </w:rPr>
        <w:t xml:space="preserve"> </w:t>
      </w:r>
    </w:p>
    <w:p w:rsidR="00E13C27" w:rsidRDefault="00292260" w:rsidP="00C63E03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 xml:space="preserve">מאחר </w:t>
      </w:r>
      <w:r w:rsidR="00323396">
        <w:rPr>
          <w:rFonts w:hint="cs"/>
          <w:rtl/>
        </w:rPr>
        <w:t>ש</w:t>
      </w:r>
      <w:r w:rsidR="00FC1723">
        <w:rPr>
          <w:rFonts w:hint="cs"/>
          <w:rtl/>
        </w:rPr>
        <w:t xml:space="preserve">יש להניח כי מרבית הצרכנים </w:t>
      </w:r>
      <w:r>
        <w:rPr>
          <w:rFonts w:hint="cs"/>
          <w:rtl/>
        </w:rPr>
        <w:t>מחזיק</w:t>
      </w:r>
      <w:r w:rsidR="00FC1723">
        <w:rPr>
          <w:rFonts w:hint="cs"/>
          <w:rtl/>
        </w:rPr>
        <w:t>ים</w:t>
      </w:r>
      <w:r>
        <w:rPr>
          <w:rFonts w:hint="cs"/>
          <w:rtl/>
        </w:rPr>
        <w:t xml:space="preserve"> </w:t>
      </w:r>
      <w:r w:rsidR="00FC1723">
        <w:rPr>
          <w:rFonts w:hint="cs"/>
          <w:rtl/>
        </w:rPr>
        <w:t xml:space="preserve">ברשותם </w:t>
      </w:r>
      <w:r>
        <w:rPr>
          <w:rFonts w:hint="cs"/>
          <w:rtl/>
        </w:rPr>
        <w:t>מכשיר</w:t>
      </w:r>
      <w:r w:rsidR="00FC1723">
        <w:rPr>
          <w:rFonts w:hint="cs"/>
          <w:rtl/>
        </w:rPr>
        <w:t>י</w:t>
      </w:r>
      <w:r w:rsidR="00D27FF9">
        <w:rPr>
          <w:rFonts w:hint="cs"/>
          <w:rtl/>
        </w:rPr>
        <w:t xml:space="preserve"> טלפון</w:t>
      </w:r>
      <w:r>
        <w:rPr>
          <w:rFonts w:hint="cs"/>
          <w:rtl/>
        </w:rPr>
        <w:t xml:space="preserve"> נייד</w:t>
      </w:r>
      <w:r w:rsidR="00FC1723">
        <w:rPr>
          <w:rFonts w:hint="cs"/>
          <w:rtl/>
        </w:rPr>
        <w:t>ים</w:t>
      </w:r>
      <w:r>
        <w:rPr>
          <w:rFonts w:hint="cs"/>
          <w:rtl/>
        </w:rPr>
        <w:t xml:space="preserve">, אין סיבה שהודעה בדבר </w:t>
      </w:r>
      <w:r w:rsidR="00C63E03">
        <w:rPr>
          <w:rFonts w:hint="cs"/>
          <w:rtl/>
        </w:rPr>
        <w:t>סיום</w:t>
      </w:r>
      <w:r>
        <w:rPr>
          <w:rFonts w:hint="cs"/>
          <w:rtl/>
        </w:rPr>
        <w:t xml:space="preserve"> עסקה </w:t>
      </w:r>
      <w:r w:rsidR="00C63E03">
        <w:rPr>
          <w:rFonts w:hint="cs"/>
          <w:rtl/>
        </w:rPr>
        <w:t xml:space="preserve">לתקופה </w:t>
      </w:r>
      <w:r>
        <w:rPr>
          <w:rFonts w:hint="cs"/>
          <w:rtl/>
        </w:rPr>
        <w:t xml:space="preserve">קצובה לא תגיע </w:t>
      </w:r>
      <w:r w:rsidR="005742C9">
        <w:rPr>
          <w:rFonts w:hint="cs"/>
          <w:rtl/>
        </w:rPr>
        <w:t xml:space="preserve">גם </w:t>
      </w:r>
      <w:r>
        <w:rPr>
          <w:rFonts w:hint="cs"/>
          <w:rtl/>
        </w:rPr>
        <w:t xml:space="preserve">כהודעת מסרון. </w:t>
      </w:r>
      <w:r w:rsidR="00E5494B">
        <w:rPr>
          <w:rFonts w:hint="cs"/>
          <w:rtl/>
        </w:rPr>
        <w:t xml:space="preserve">על כן מוצע להוסיף </w:t>
      </w:r>
      <w:r w:rsidR="005742C9">
        <w:rPr>
          <w:rFonts w:hint="cs"/>
          <w:rtl/>
        </w:rPr>
        <w:t xml:space="preserve">לחובת העוסק להודיע לצרכן על סיום העסקה או ההתקשרות </w:t>
      </w:r>
      <w:r w:rsidR="00D27FF9">
        <w:rPr>
          <w:rFonts w:hint="cs"/>
          <w:rtl/>
        </w:rPr>
        <w:t>באמצעים האמורים</w:t>
      </w:r>
      <w:r w:rsidR="00323396">
        <w:rPr>
          <w:rFonts w:hint="cs"/>
          <w:rtl/>
        </w:rPr>
        <w:t xml:space="preserve"> לעיל, </w:t>
      </w:r>
      <w:r w:rsidR="005742C9">
        <w:rPr>
          <w:rFonts w:hint="cs"/>
          <w:rtl/>
        </w:rPr>
        <w:t>גם את החובה להודיע לו על כך באמצעות מסרון לטלפון הנייד של</w:t>
      </w:r>
      <w:r w:rsidR="00D27FF9">
        <w:rPr>
          <w:rFonts w:hint="cs"/>
          <w:rtl/>
        </w:rPr>
        <w:t>ו</w:t>
      </w:r>
      <w:r w:rsidR="005742C9">
        <w:rPr>
          <w:rFonts w:hint="cs"/>
          <w:rtl/>
        </w:rPr>
        <w:t>, אם הצרכן מסר לו את מספר הטלפון שלו. מוצע שהודעת המסרון תשלח לצרכן 14 ימים בטרם סיום העסקה או ההתחייבות.</w:t>
      </w:r>
    </w:p>
    <w:p w:rsidR="00C63E03" w:rsidRPr="0022704F" w:rsidRDefault="00C63E03" w:rsidP="0022704F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---------------------------------</w:t>
      </w:r>
    </w:p>
    <w:p w:rsidR="00C63E03" w:rsidRPr="0022704F" w:rsidRDefault="00C63E03" w:rsidP="00C63E03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הוגשה ליו"ר הכנסת והסגנים</w:t>
      </w:r>
    </w:p>
    <w:p w:rsidR="00C63E03" w:rsidRPr="0022704F" w:rsidRDefault="00C63E03" w:rsidP="00C63E03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והונחה על שולחן הכנסת ביום</w:t>
      </w:r>
    </w:p>
    <w:p w:rsidR="00C63E03" w:rsidRPr="00C63E03" w:rsidRDefault="00C63E03" w:rsidP="00C63E03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ז' בסיוון התשע"ה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25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5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15</w:t>
      </w:r>
    </w:p>
    <w:sectPr w:rsidR="00C63E03" w:rsidRPr="00C63E03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70" w:rsidRDefault="00D00970">
      <w:r>
        <w:separator/>
      </w:r>
    </w:p>
  </w:endnote>
  <w:endnote w:type="continuationSeparator" w:id="0">
    <w:p w:rsidR="00D00970" w:rsidRDefault="00D0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1A0623" w:rsidRDefault="001A0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C63E03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:rsidR="001A0623" w:rsidRDefault="001A0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70" w:rsidRDefault="00D00970">
      <w:r>
        <w:separator/>
      </w:r>
    </w:p>
  </w:footnote>
  <w:footnote w:type="continuationSeparator" w:id="0">
    <w:p w:rsidR="00D00970" w:rsidRDefault="00D00970">
      <w:r>
        <w:continuationSeparator/>
      </w:r>
    </w:p>
  </w:footnote>
  <w:footnote w:type="continuationNotice" w:id="1">
    <w:p w:rsidR="00D00970" w:rsidRDefault="00D00970"/>
  </w:footnote>
  <w:footnote w:id="2">
    <w:p w:rsidR="008D234F" w:rsidRDefault="008D234F" w:rsidP="008D234F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התשמ"א, עמ' 248.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7681A"/>
    <w:rsid w:val="00086832"/>
    <w:rsid w:val="000A542E"/>
    <w:rsid w:val="00102B6B"/>
    <w:rsid w:val="001052D4"/>
    <w:rsid w:val="0010644B"/>
    <w:rsid w:val="00111354"/>
    <w:rsid w:val="001207F8"/>
    <w:rsid w:val="00121924"/>
    <w:rsid w:val="001256D9"/>
    <w:rsid w:val="001279A8"/>
    <w:rsid w:val="0014195F"/>
    <w:rsid w:val="00152609"/>
    <w:rsid w:val="00153E1B"/>
    <w:rsid w:val="001A0623"/>
    <w:rsid w:val="001C23B0"/>
    <w:rsid w:val="00203A7F"/>
    <w:rsid w:val="002200A1"/>
    <w:rsid w:val="002362BF"/>
    <w:rsid w:val="00241B97"/>
    <w:rsid w:val="00246756"/>
    <w:rsid w:val="00251E58"/>
    <w:rsid w:val="00254605"/>
    <w:rsid w:val="002728B4"/>
    <w:rsid w:val="0027600C"/>
    <w:rsid w:val="00292260"/>
    <w:rsid w:val="00292712"/>
    <w:rsid w:val="002A487D"/>
    <w:rsid w:val="002C2E29"/>
    <w:rsid w:val="002D1EE3"/>
    <w:rsid w:val="002F1D80"/>
    <w:rsid w:val="003232A2"/>
    <w:rsid w:val="00323396"/>
    <w:rsid w:val="00325C14"/>
    <w:rsid w:val="003710F6"/>
    <w:rsid w:val="00386E88"/>
    <w:rsid w:val="00396585"/>
    <w:rsid w:val="003D74A0"/>
    <w:rsid w:val="004033D8"/>
    <w:rsid w:val="004073F0"/>
    <w:rsid w:val="00412A7D"/>
    <w:rsid w:val="00416B4D"/>
    <w:rsid w:val="00417CFC"/>
    <w:rsid w:val="004B24ED"/>
    <w:rsid w:val="004D2D82"/>
    <w:rsid w:val="004D3876"/>
    <w:rsid w:val="004E4552"/>
    <w:rsid w:val="00553C9D"/>
    <w:rsid w:val="00562A66"/>
    <w:rsid w:val="00573926"/>
    <w:rsid w:val="005742C9"/>
    <w:rsid w:val="005B064E"/>
    <w:rsid w:val="005D51AE"/>
    <w:rsid w:val="0062674B"/>
    <w:rsid w:val="006363B2"/>
    <w:rsid w:val="00644940"/>
    <w:rsid w:val="006818A9"/>
    <w:rsid w:val="006A2D81"/>
    <w:rsid w:val="006C1D0D"/>
    <w:rsid w:val="006C700B"/>
    <w:rsid w:val="0070601E"/>
    <w:rsid w:val="00712C72"/>
    <w:rsid w:val="00735FE9"/>
    <w:rsid w:val="00763CAA"/>
    <w:rsid w:val="00765F66"/>
    <w:rsid w:val="007C3FA6"/>
    <w:rsid w:val="007D585A"/>
    <w:rsid w:val="007D5A12"/>
    <w:rsid w:val="007E59F9"/>
    <w:rsid w:val="00810BCD"/>
    <w:rsid w:val="00812C98"/>
    <w:rsid w:val="00814D92"/>
    <w:rsid w:val="0083181D"/>
    <w:rsid w:val="00874BBC"/>
    <w:rsid w:val="00892135"/>
    <w:rsid w:val="00895449"/>
    <w:rsid w:val="00897879"/>
    <w:rsid w:val="008A6870"/>
    <w:rsid w:val="008C2DDC"/>
    <w:rsid w:val="008C7516"/>
    <w:rsid w:val="008D234F"/>
    <w:rsid w:val="008E6EC7"/>
    <w:rsid w:val="008F0D63"/>
    <w:rsid w:val="008F2C35"/>
    <w:rsid w:val="008F6665"/>
    <w:rsid w:val="0091204F"/>
    <w:rsid w:val="009203DB"/>
    <w:rsid w:val="00923CD4"/>
    <w:rsid w:val="00943386"/>
    <w:rsid w:val="009456B6"/>
    <w:rsid w:val="00957589"/>
    <w:rsid w:val="00966D06"/>
    <w:rsid w:val="00982412"/>
    <w:rsid w:val="00983A8D"/>
    <w:rsid w:val="009A3DA9"/>
    <w:rsid w:val="009A7257"/>
    <w:rsid w:val="009D6E0A"/>
    <w:rsid w:val="00A14672"/>
    <w:rsid w:val="00A26BD6"/>
    <w:rsid w:val="00A443CF"/>
    <w:rsid w:val="00A6611D"/>
    <w:rsid w:val="00A82CB7"/>
    <w:rsid w:val="00AA2F03"/>
    <w:rsid w:val="00AC36F7"/>
    <w:rsid w:val="00AC63A4"/>
    <w:rsid w:val="00AD239E"/>
    <w:rsid w:val="00B10265"/>
    <w:rsid w:val="00B21211"/>
    <w:rsid w:val="00B35784"/>
    <w:rsid w:val="00B37641"/>
    <w:rsid w:val="00B733A7"/>
    <w:rsid w:val="00B975AD"/>
    <w:rsid w:val="00BC45FB"/>
    <w:rsid w:val="00BF063C"/>
    <w:rsid w:val="00BF148D"/>
    <w:rsid w:val="00C23B1A"/>
    <w:rsid w:val="00C310EB"/>
    <w:rsid w:val="00C63E03"/>
    <w:rsid w:val="00C9176A"/>
    <w:rsid w:val="00CF1AA2"/>
    <w:rsid w:val="00D00970"/>
    <w:rsid w:val="00D27FF9"/>
    <w:rsid w:val="00D63620"/>
    <w:rsid w:val="00D8410D"/>
    <w:rsid w:val="00D867D7"/>
    <w:rsid w:val="00DA0A5C"/>
    <w:rsid w:val="00DB7060"/>
    <w:rsid w:val="00DC3CFC"/>
    <w:rsid w:val="00DC7D91"/>
    <w:rsid w:val="00DE3153"/>
    <w:rsid w:val="00E06736"/>
    <w:rsid w:val="00E13C27"/>
    <w:rsid w:val="00E33BBD"/>
    <w:rsid w:val="00E45103"/>
    <w:rsid w:val="00E5494B"/>
    <w:rsid w:val="00E665B9"/>
    <w:rsid w:val="00EA01E6"/>
    <w:rsid w:val="00EA3DE8"/>
    <w:rsid w:val="00EA758F"/>
    <w:rsid w:val="00ED4A6F"/>
    <w:rsid w:val="00EF3A3A"/>
    <w:rsid w:val="00F628D6"/>
    <w:rsid w:val="00F67051"/>
    <w:rsid w:val="00FA5E88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styleId="ad">
    <w:name w:val="Strong"/>
    <w:basedOn w:val="a0"/>
    <w:uiPriority w:val="22"/>
    <w:qFormat/>
    <w:rsid w:val="00FC1723"/>
    <w:rPr>
      <w:b/>
      <w:bCs/>
    </w:rPr>
  </w:style>
  <w:style w:type="character" w:customStyle="1" w:styleId="apple-converted-space">
    <w:name w:val="apple-converted-space"/>
    <w:basedOn w:val="a0"/>
    <w:rsid w:val="00FC1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styleId="ad">
    <w:name w:val="Strong"/>
    <w:basedOn w:val="a0"/>
    <w:uiPriority w:val="22"/>
    <w:qFormat/>
    <w:rsid w:val="00FC1723"/>
    <w:rPr>
      <w:b/>
      <w:bCs/>
    </w:rPr>
  </w:style>
  <w:style w:type="character" w:customStyle="1" w:styleId="apple-converted-space">
    <w:name w:val="apple-converted-space"/>
    <w:basedOn w:val="a0"/>
    <w:rsid w:val="00FC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8EE6-CCAC-4ACC-BB81-348D77072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DE6ED8-121A-43BA-B023-E4EA7435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10</cp:revision>
  <cp:lastPrinted>2015-05-20T09:30:00Z</cp:lastPrinted>
  <dcterms:created xsi:type="dcterms:W3CDTF">2015-03-26T08:06:00Z</dcterms:created>
  <dcterms:modified xsi:type="dcterms:W3CDTF">2015-05-20T09:30:00Z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0354fdee-f711-4d2a-9cf2-2d1c4d9ac92a</vt:lpwstr>
  </property>
  <property fmtid="{D5CDD505-2E9C-101B-9397-08002B2CF9AE}" pid="4" name="SanhedrinDocumentType">
    <vt:r8>10</vt:r8>
  </property>
  <property fmtid="{D5CDD505-2E9C-101B-9397-08002B2CF9AE}" pid="5" name="SanhedrinItemID">
    <vt:r8>563672</vt:r8>
  </property>
</Properties>
</file>