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D63EEB" w:rsidRDefault="004033D8" w:rsidP="00D63EEB">
      <w:pPr>
        <w:pStyle w:val="HeadHatzaotHok"/>
        <w:jc w:val="right"/>
        <w:rPr>
          <w:b w:val="0"/>
          <w:bCs w:val="0"/>
          <w:szCs w:val="20"/>
        </w:rPr>
      </w:pPr>
      <w:r w:rsidRPr="00D63EE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ItemID"/>
      <w:r w:rsidR="006F6E4B" w:rsidRPr="00D63EEB">
        <w:rPr>
          <w:b w:val="0"/>
          <w:bCs w:val="0"/>
          <w:szCs w:val="20"/>
          <w:rtl/>
        </w:rPr>
        <w:t>482080</w:t>
      </w:r>
      <w:bookmarkEnd w:id="0"/>
    </w:p>
    <w:p w:rsidR="00E13C27" w:rsidRPr="00DB7060" w:rsidRDefault="00E13C27" w:rsidP="00E13C27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KnessetNum"/>
      <w:r w:rsidR="006F6E4B" w:rsidRPr="006F6E4B">
        <w:rPr>
          <w:sz w:val="28"/>
          <w:szCs w:val="28"/>
          <w:rtl/>
        </w:rPr>
        <w:t>התשע-עשרה</w:t>
      </w:r>
      <w:bookmarkEnd w:id="1"/>
    </w:p>
    <w:p w:rsidR="00E13C27" w:rsidRDefault="00E13C27" w:rsidP="00E13C27">
      <w:pPr>
        <w:rPr>
          <w:rFonts w:cs="David"/>
          <w:sz w:val="26"/>
          <w:szCs w:val="26"/>
          <w:rtl/>
        </w:rPr>
      </w:pPr>
    </w:p>
    <w:p w:rsidR="00C1260F" w:rsidRPr="00B73FA3" w:rsidRDefault="00EA3128" w:rsidP="0091204F">
      <w:pPr>
        <w:pStyle w:val="David"/>
        <w:ind w:left="2880" w:firstLine="663"/>
        <w:rPr>
          <w:b/>
          <w:bCs/>
        </w:rPr>
      </w:pPr>
      <w:bookmarkStart w:id="2" w:name="MKsSingleOrMulti"/>
      <w:r w:rsidRPr="00B73FA3">
        <w:rPr>
          <w:b/>
          <w:bCs/>
          <w:rtl/>
        </w:rPr>
        <w:t>יוזמים:      חברי הכנסת</w:t>
      </w:r>
      <w:bookmarkEnd w:id="2"/>
      <w:r w:rsidR="00B35784" w:rsidRPr="00B73FA3">
        <w:rPr>
          <w:b/>
          <w:bCs/>
        </w:rPr>
        <w:tab/>
      </w:r>
      <w:bookmarkStart w:id="3" w:name="MKs"/>
      <w:r w:rsidR="00C1260F" w:rsidRPr="00B73FA3">
        <w:rPr>
          <w:b/>
          <w:bCs/>
          <w:rtl/>
        </w:rPr>
        <w:t>בועז טופורובסקי</w:t>
      </w:r>
    </w:p>
    <w:p w:rsidR="00C1260F" w:rsidRPr="00B73FA3" w:rsidRDefault="00C1260F" w:rsidP="0091204F">
      <w:pPr>
        <w:pStyle w:val="David"/>
        <w:ind w:left="2880" w:firstLine="663"/>
        <w:rPr>
          <w:b/>
          <w:bCs/>
        </w:rPr>
      </w:pP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  <w:rtl/>
        </w:rPr>
        <w:t>חמד עמאר</w:t>
      </w:r>
    </w:p>
    <w:p w:rsidR="00C1260F" w:rsidRPr="00B73FA3" w:rsidRDefault="00C1260F" w:rsidP="0091204F">
      <w:pPr>
        <w:pStyle w:val="David"/>
        <w:ind w:left="2880" w:firstLine="663"/>
        <w:rPr>
          <w:b/>
          <w:bCs/>
        </w:rPr>
      </w:pP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  <w:rtl/>
        </w:rPr>
        <w:t>רות קלדרון</w:t>
      </w:r>
    </w:p>
    <w:p w:rsidR="00C1260F" w:rsidRPr="00B73FA3" w:rsidRDefault="00C1260F" w:rsidP="0091204F">
      <w:pPr>
        <w:pStyle w:val="David"/>
        <w:ind w:left="2880" w:firstLine="663"/>
        <w:rPr>
          <w:b/>
          <w:bCs/>
        </w:rPr>
      </w:pP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  <w:rtl/>
        </w:rPr>
        <w:t>רינה פרנקל</w:t>
      </w:r>
    </w:p>
    <w:p w:rsidR="00E13C27" w:rsidRPr="00B73FA3" w:rsidRDefault="00C1260F" w:rsidP="0091204F">
      <w:pPr>
        <w:pStyle w:val="David"/>
        <w:ind w:left="2880" w:firstLine="663"/>
        <w:rPr>
          <w:b/>
          <w:bCs/>
          <w:rtl/>
        </w:rPr>
      </w:pP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</w:rPr>
        <w:tab/>
      </w:r>
      <w:r w:rsidRPr="00B73FA3">
        <w:rPr>
          <w:b/>
          <w:bCs/>
          <w:rtl/>
        </w:rPr>
        <w:t>עפר שלח</w:t>
      </w:r>
      <w:bookmarkEnd w:id="3"/>
    </w:p>
    <w:p w:rsidR="00E13C27" w:rsidRDefault="0014195F" w:rsidP="00B35784">
      <w:pPr>
        <w:ind w:firstLine="3543"/>
        <w:rPr>
          <w:rFonts w:cs="David"/>
          <w:sz w:val="26"/>
          <w:szCs w:val="2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A197B" wp14:editId="5CE95B32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3869690" cy="15875"/>
                <wp:effectExtent l="0" t="38100" r="0" b="4127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5875"/>
                        </a:xfrm>
                        <a:custGeom>
                          <a:avLst/>
                          <a:gdLst>
                            <a:gd name="T0" fmla="*/ 0 w 6094"/>
                            <a:gd name="T1" fmla="*/ 25 h 25"/>
                            <a:gd name="T2" fmla="*/ 6094 w 6094"/>
                            <a:gd name="T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4" h="25">
                              <a:moveTo>
                                <a:pt x="0" y="25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4.8pt,3.85pt" coordsize="609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Q4NAMAAGMHAAAOAAAAZHJzL2Uyb0RvYy54bWysVW1vmzAQ/j5p/8Hyx0mUl0ASopKqDWGa&#10;1G2Vmv0AB0xAA5vZTkg37b/vbAghrapN2/iAztxx9zz32Ofrm2NdoQMVsuQswu6VgxFlKc9Ktovw&#10;l01izTGSirCMVJzRCD9RiW+Wb99ct82CerzgVUYFgiRMLtomwoVSzcK2ZVrQmsgr3lAGzpyLmihY&#10;ip2dCdJC9rqyPceZ2i0XWSN4SqWEr3HnxEuTP89pqj7nuaQKVREGbMq8hXlv9dteXpPFTpCmKNMe&#10;BvkLFDUpGRQdUsVEEbQX5YtUdZkKLnmurlJe2zzPy5QaDsDGdZ6xeSxIQw0XaI5shjbJ/5c2/XR4&#10;EKjMIuxhxEgNEiWCUt1wNNfdaRu5gKDH5kFofrK55+lXCQ77wqMXEmLQtv3IM8hC9oqbjhxzUes/&#10;gSs6msY/DY2nR4VS+DiZT8NpCPqk4HOD+SzQpW2yOP2c7qV6T7lJRA73UnW6ZWCZrmc99g3kyOsK&#10;JHxnIwe1aOqEfi/yEOOOYrwAFcgz5UC8IQSaMaTRKV7JNBmFOUMiwL07ISPFCWx6ZD1asBDR58Mx&#10;DWq41I3R0IH9xu2pQ5Sm9kowANTBk3Ew1D0XEbD1n296gRFs+m3Xj4YojU3X0CZqI2yahQrYC4FB&#10;VvMD3XAToc7add2CYmd3xcZhXZqTyhDYucHQhYyuQ3GNeaQt40lZVUbcimlIYdBjGXkE37PMxBSU&#10;ZOveVqSsOttU1Khhe/UM9UYzx/FH6ITr+XruW743XVu+E8fWbbLyrWnizoJ4Eq9WsftTs3f9RVFm&#10;GWUa0Wk0uP6fHb1+SHWHehgOkldlptNpcFLstqtKoAOB0ZSYpxdzFGZfwjC9Ay49uRMl1/OdOy+0&#10;kul8ZvmJH1jhzJlbjhvehVPHD/04uaR0XzL675Qu9BmBfsbNMc9LbmTxeyEHETTiM3tQ+KStGUN6&#10;8nSjasuzJ5hCgneTHm4mMAouvmPUwpSPsPy2J4JiVH1gMEZD1/f1tWAWfjDzYCHGnu3YQ1gKqSKs&#10;MJxfba5Ud5XsG1HuCqjkmnPD+C1Mv7zUU8rg61D1C5jkhkl/6+irYrw2Uee7cfkLAAD//wMAUEsD&#10;BBQABgAIAAAAIQDEaxlz3AAAAAUBAAAPAAAAZHJzL2Rvd25yZXYueG1sTI7BSsNAFEX3Qv9heAV3&#10;dsYIaY2ZFBEqiBttC8XdNPNMYjNv0sw0iX/vc6XLyz3ce/L15FoxYB8aTxpuFwoEUultQ5WG/W5z&#10;swIRoiFrWk+o4RsDrIvZVW4y60d6x2EbK8EjFDKjoY6xy6QMZY3OhIXvkLj79L0zkWNfSdubkcdd&#10;KxOlUulMQ/xQmw6faixP24vTkHZnNZzeqs3u9fk8Bvly+Np/3Gl9PZ8eH0BEnOIfDL/6rA4FOx39&#10;hWwQrYaEOQ3LJQguU3WfgjgypRKQRS7/2xc/AAAA//8DAFBLAQItABQABgAIAAAAIQC2gziS/gAA&#10;AOEBAAATAAAAAAAAAAAAAAAAAAAAAABbQ29udGVudF9UeXBlc10ueG1sUEsBAi0AFAAGAAgAAAAh&#10;ADj9If/WAAAAlAEAAAsAAAAAAAAAAAAAAAAALwEAAF9yZWxzLy5yZWxzUEsBAi0AFAAGAAgAAAAh&#10;AKw4dDg0AwAAYwcAAA4AAAAAAAAAAAAAAAAALgIAAGRycy9lMm9Eb2MueG1sUEsBAi0AFAAGAAgA&#10;AAAhAMRrGXPcAAAABQEAAA8AAAAAAAAAAAAAAAAAjgUAAGRycy9kb3ducmV2LnhtbFBLBQYAAAAA&#10;BAAEAPMAAACXBgAAAAA=&#10;" filled="f" stroked="f">
                <v:path arrowok="t" o:connecttype="custom" o:connectlocs="0,15875;3869690,0" o:connectangles="0,0"/>
              </v:polyline>
            </w:pict>
          </mc:Fallback>
        </mc:AlternateContent>
      </w:r>
      <w:bookmarkStart w:id="4" w:name="MKsSingleOrMulti1"/>
      <w:bookmarkEnd w:id="4"/>
      <w:r w:rsidR="002200A1">
        <w:rPr>
          <w:rFonts w:cs="David" w:hint="cs"/>
          <w:sz w:val="26"/>
          <w:szCs w:val="26"/>
          <w:rtl/>
        </w:rPr>
        <w:tab/>
      </w:r>
      <w:bookmarkStart w:id="5" w:name="MKs1"/>
      <w:bookmarkEnd w:id="5"/>
    </w:p>
    <w:p w:rsidR="00E13C27" w:rsidRDefault="0014195F" w:rsidP="00292712">
      <w:pPr>
        <w:ind w:left="2919" w:firstLine="720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98B07" wp14:editId="1B0811B0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bookmarkStart w:id="6" w:name="LawNum"/>
      <w:r w:rsidR="00AE30EB" w:rsidRPr="00AE30EB">
        <w:rPr>
          <w:rFonts w:cs="David"/>
          <w:sz w:val="26"/>
          <w:szCs w:val="26"/>
          <w:rtl/>
        </w:rPr>
        <w:t>פ/1445/19</w:t>
      </w:r>
      <w:bookmarkEnd w:id="6"/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</w:p>
    <w:p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Default="006E490F" w:rsidP="00B73FA3">
      <w:pPr>
        <w:pStyle w:val="HeadHatzaotHok"/>
        <w:tabs>
          <w:tab w:val="left" w:pos="4071"/>
          <w:tab w:val="center" w:pos="4819"/>
        </w:tabs>
        <w:spacing w:before="0"/>
        <w:rPr>
          <w:sz w:val="26"/>
          <w:rtl/>
        </w:rPr>
      </w:pPr>
      <w:bookmarkStart w:id="7" w:name="Title"/>
      <w:r w:rsidRPr="006E490F">
        <w:rPr>
          <w:sz w:val="26"/>
          <w:rtl/>
        </w:rPr>
        <w:t xml:space="preserve">הצעת חוק לתיקון פקודת התעבורה (חובת סימון קסדת מגן ברכיבה על אופנוע או אופניים), </w:t>
      </w:r>
      <w:r w:rsidR="00D63EEB">
        <w:rPr>
          <w:rFonts w:hint="cs"/>
          <w:sz w:val="26"/>
          <w:rtl/>
        </w:rPr>
        <w:br/>
      </w:r>
      <w:r w:rsidRPr="006E490F">
        <w:rPr>
          <w:sz w:val="26"/>
          <w:rtl/>
        </w:rPr>
        <w:t>התשע"ג</w:t>
      </w:r>
      <w:r w:rsidR="00B73FA3">
        <w:rPr>
          <w:rFonts w:hint="cs"/>
          <w:sz w:val="26"/>
          <w:rtl/>
        </w:rPr>
        <w:t>–</w:t>
      </w:r>
      <w:r w:rsidRPr="006E490F">
        <w:rPr>
          <w:sz w:val="26"/>
          <w:rtl/>
        </w:rPr>
        <w:t>2013</w:t>
      </w:r>
      <w:bookmarkEnd w:id="7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19"/>
      </w:tblGrid>
      <w:tr w:rsidR="00B73FA3" w:rsidTr="00B73FA3">
        <w:trPr>
          <w:cantSplit/>
        </w:trPr>
        <w:tc>
          <w:tcPr>
            <w:tcW w:w="1871" w:type="dxa"/>
          </w:tcPr>
          <w:p w:rsidR="00B73FA3" w:rsidRDefault="00B73FA3" w:rsidP="00101EB8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65ג</w:t>
            </w: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2"/>
          </w:tcPr>
          <w:p w:rsidR="00B73FA3" w:rsidRPr="00F91F92" w:rsidRDefault="00B73FA3" w:rsidP="00B73FA3">
            <w:pPr>
              <w:pStyle w:val="TableBlock"/>
            </w:pPr>
            <w:r>
              <w:rPr>
                <w:rFonts w:hint="cs"/>
                <w:rtl/>
              </w:rPr>
              <w:t>בפקודת התעבורה</w:t>
            </w:r>
            <w:r>
              <w:rPr>
                <w:rStyle w:val="a5"/>
                <w:rtl/>
              </w:rPr>
              <w:footnoteReference w:id="2"/>
            </w:r>
            <w:r>
              <w:rPr>
                <w:rFonts w:hint="cs"/>
                <w:rtl/>
              </w:rPr>
              <w:t>, בסעיף 65ג</w:t>
            </w:r>
            <w:r>
              <w:rPr>
                <w:rFonts w:hint="cs"/>
                <w:b/>
                <w:bCs/>
                <w:rtl/>
              </w:rPr>
              <w:t xml:space="preserve"> –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Default="00B73FA3" w:rsidP="00101EB8">
            <w:pPr>
              <w:pStyle w:val="TableSideHeading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</w:pPr>
            <w:r>
              <w:rPr>
                <w:rFonts w:hint="cs"/>
                <w:rtl/>
              </w:rPr>
              <w:t>בסעיף קטן (א) –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Default="00B73FA3" w:rsidP="00101EB8">
            <w:pPr>
              <w:pStyle w:val="TableSideHeading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  <w:rPr>
                <w:rtl/>
              </w:rPr>
            </w:pP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"בשעת הנסיעה" יבוא "והמסומנת בפס זוהר לכל היקפה";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Pr="003238DB" w:rsidRDefault="00B73FA3" w:rsidP="00101EB8">
            <w:pPr>
              <w:pStyle w:val="TableSideHeading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  <w:rPr>
                <w:rtl/>
              </w:rPr>
            </w:pP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בסופו יבוא "בסעיף זה, "פס זוהר"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פס מחזיר אור, העומד </w:t>
            </w:r>
            <w:r w:rsidRPr="009851F5">
              <w:rPr>
                <w:rFonts w:hint="cs"/>
                <w:rtl/>
              </w:rPr>
              <w:t xml:space="preserve">בדרישות </w:t>
            </w:r>
            <w:r w:rsidRPr="009851F5">
              <w:rPr>
                <w:rFonts w:hint="eastAsia"/>
                <w:rtl/>
              </w:rPr>
              <w:t>שקבע</w:t>
            </w:r>
            <w:r w:rsidRPr="009851F5">
              <w:rPr>
                <w:rtl/>
              </w:rPr>
              <w:t xml:space="preserve"> </w:t>
            </w:r>
            <w:r w:rsidRPr="009851F5">
              <w:rPr>
                <w:rFonts w:hint="eastAsia"/>
                <w:rtl/>
              </w:rPr>
              <w:t>השר</w:t>
            </w:r>
            <w:r w:rsidRPr="009851F5">
              <w:rPr>
                <w:rFonts w:hint="cs"/>
                <w:rtl/>
              </w:rPr>
              <w:t>."</w:t>
            </w:r>
            <w:r w:rsidR="00D63EEB">
              <w:rPr>
                <w:rFonts w:hint="cs"/>
                <w:rtl/>
              </w:rPr>
              <w:t>;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Default="00B73FA3" w:rsidP="00101EB8">
            <w:pPr>
              <w:pStyle w:val="TableSideHeading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  <w:r>
              <w:rPr>
                <w:rFonts w:hint="cs"/>
                <w:rtl/>
              </w:rPr>
              <w:t>(2)</w:t>
            </w: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</w:pPr>
            <w:r>
              <w:rPr>
                <w:rFonts w:hint="cs"/>
                <w:rtl/>
              </w:rPr>
              <w:t>אחרי סעיף קטן (א) יבוא: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Pr="009851F5" w:rsidRDefault="00B73FA3" w:rsidP="00101EB8">
            <w:pPr>
              <w:pStyle w:val="TableSideHeading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  <w:rPr>
                <w:rtl/>
              </w:rPr>
            </w:pP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"(א1) לא ירכב אדם על אופנוע, ולא ירכיב אדם אחר, אלא אם </w:t>
            </w:r>
            <w:r w:rsidR="00D63EEB">
              <w:rPr>
                <w:rFonts w:hint="cs"/>
                <w:rtl/>
              </w:rPr>
              <w:t xml:space="preserve">כן </w:t>
            </w:r>
            <w:r>
              <w:rPr>
                <w:rFonts w:hint="cs"/>
                <w:rtl/>
              </w:rPr>
              <w:t>הם חובשים קסדת מגן העומדת בדרישות שקבע השר, הקשורה ברצועה שתמנע את נפילתה בשעת הנסיעה והמסומנת בפס זוהר לכל היקפה.</w:t>
            </w:r>
            <w:r w:rsidR="00D63EEB">
              <w:rPr>
                <w:rFonts w:hint="cs"/>
                <w:rtl/>
              </w:rPr>
              <w:t>";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B73FA3" w:rsidTr="00B73FA3">
        <w:trPr>
          <w:cantSplit/>
        </w:trPr>
        <w:tc>
          <w:tcPr>
            <w:tcW w:w="1871" w:type="dxa"/>
          </w:tcPr>
          <w:p w:rsidR="00B73FA3" w:rsidRDefault="00B73FA3" w:rsidP="00101EB8">
            <w:pPr>
              <w:pStyle w:val="TableSideHeading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</w:pPr>
          </w:p>
        </w:tc>
        <w:tc>
          <w:tcPr>
            <w:tcW w:w="624" w:type="dxa"/>
          </w:tcPr>
          <w:p w:rsidR="00B73FA3" w:rsidRDefault="00B73FA3" w:rsidP="00101EB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</w:p>
        </w:tc>
        <w:tc>
          <w:tcPr>
            <w:tcW w:w="6519" w:type="dxa"/>
          </w:tcPr>
          <w:p w:rsidR="00B73FA3" w:rsidRDefault="00B73FA3" w:rsidP="00B73FA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קטן (ב), בסופו יבוא "וסעיף קטן (א1)".</w:t>
            </w:r>
          </w:p>
        </w:tc>
      </w:tr>
    </w:tbl>
    <w:p w:rsidR="00B73FA3" w:rsidRPr="00DA3DA7" w:rsidRDefault="00B73FA3" w:rsidP="00ED7FDA">
      <w:pPr>
        <w:pStyle w:val="HeadDivreiHesber"/>
        <w:spacing w:line="240" w:lineRule="auto"/>
        <w:rPr>
          <w:rtl/>
        </w:rPr>
      </w:pPr>
      <w:r w:rsidRPr="00DA3DA7">
        <w:rPr>
          <w:rFonts w:hint="eastAsia"/>
          <w:rtl/>
        </w:rPr>
        <w:t>דברי</w:t>
      </w:r>
      <w:r w:rsidRPr="00DA3DA7">
        <w:rPr>
          <w:rtl/>
        </w:rPr>
        <w:t xml:space="preserve"> </w:t>
      </w:r>
      <w:r w:rsidRPr="00DA3DA7">
        <w:rPr>
          <w:rFonts w:hint="eastAsia"/>
          <w:rtl/>
        </w:rPr>
        <w:t>הסבר</w:t>
      </w:r>
    </w:p>
    <w:p w:rsidR="00B73FA3" w:rsidRDefault="00B73FA3" w:rsidP="00ED7FDA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 xml:space="preserve">הרוכבים בכלי רכב </w:t>
      </w:r>
      <w:r w:rsidRPr="009851F5">
        <w:rPr>
          <w:rFonts w:hint="eastAsia"/>
          <w:rtl/>
        </w:rPr>
        <w:t>דו</w:t>
      </w:r>
      <w:r>
        <w:rPr>
          <w:rFonts w:hint="cs"/>
          <w:rtl/>
        </w:rPr>
        <w:t>-</w:t>
      </w:r>
      <w:r w:rsidRPr="009851F5">
        <w:rPr>
          <w:rFonts w:hint="eastAsia"/>
          <w:rtl/>
        </w:rPr>
        <w:t>גלגלי</w:t>
      </w:r>
      <w:r>
        <w:rPr>
          <w:rFonts w:hint="cs"/>
          <w:rtl/>
        </w:rPr>
        <w:t>,</w:t>
      </w:r>
      <w:r w:rsidRPr="009851F5">
        <w:rPr>
          <w:rtl/>
        </w:rPr>
        <w:t xml:space="preserve"> </w:t>
      </w:r>
      <w:r>
        <w:rPr>
          <w:rFonts w:hint="cs"/>
          <w:rtl/>
        </w:rPr>
        <w:t>חשופים מאוד לפגיעות</w:t>
      </w:r>
      <w:r w:rsidRPr="009851F5">
        <w:rPr>
          <w:rtl/>
        </w:rPr>
        <w:t xml:space="preserve">, </w:t>
      </w:r>
      <w:r>
        <w:rPr>
          <w:rFonts w:hint="cs"/>
          <w:rtl/>
        </w:rPr>
        <w:t>בפרט כאשר מדובר בשעות</w:t>
      </w:r>
      <w:r w:rsidRPr="009851F5">
        <w:rPr>
          <w:rtl/>
        </w:rPr>
        <w:t xml:space="preserve"> </w:t>
      </w:r>
      <w:r w:rsidRPr="009851F5">
        <w:rPr>
          <w:rFonts w:hint="eastAsia"/>
          <w:rtl/>
        </w:rPr>
        <w:t>החשיכה</w:t>
      </w:r>
      <w:r>
        <w:rPr>
          <w:rFonts w:hint="cs"/>
          <w:rtl/>
        </w:rPr>
        <w:t>.</w:t>
      </w:r>
      <w:r w:rsidRPr="009851F5">
        <w:rPr>
          <w:rtl/>
        </w:rPr>
        <w:t xml:space="preserve"> </w:t>
      </w:r>
      <w:r>
        <w:rPr>
          <w:rFonts w:hint="cs"/>
          <w:rtl/>
        </w:rPr>
        <w:t>ל</w:t>
      </w:r>
      <w:r w:rsidRPr="009851F5">
        <w:rPr>
          <w:rtl/>
        </w:rPr>
        <w:t>כן</w:t>
      </w:r>
      <w:r>
        <w:rPr>
          <w:rFonts w:hint="cs"/>
          <w:rtl/>
        </w:rPr>
        <w:t>,</w:t>
      </w:r>
      <w:r w:rsidRPr="009851F5">
        <w:rPr>
          <w:rtl/>
        </w:rPr>
        <w:t xml:space="preserve"> מוצע </w:t>
      </w:r>
      <w:r w:rsidRPr="009851F5">
        <w:rPr>
          <w:rFonts w:hint="eastAsia"/>
          <w:rtl/>
        </w:rPr>
        <w:t>לחייב</w:t>
      </w:r>
      <w:r w:rsidRPr="009851F5">
        <w:rPr>
          <w:rtl/>
        </w:rPr>
        <w:t xml:space="preserve"> רוכבים </w:t>
      </w:r>
      <w:r>
        <w:rPr>
          <w:rFonts w:hint="cs"/>
          <w:rtl/>
        </w:rPr>
        <w:t xml:space="preserve">אלה </w:t>
      </w:r>
      <w:r w:rsidRPr="009851F5">
        <w:rPr>
          <w:rtl/>
        </w:rPr>
        <w:t>לחבוש קסדה המסומנת בפס זוהר</w:t>
      </w:r>
      <w:r>
        <w:rPr>
          <w:rFonts w:hint="cs"/>
          <w:rtl/>
        </w:rPr>
        <w:t>,</w:t>
      </w:r>
      <w:r w:rsidRPr="009851F5">
        <w:rPr>
          <w:rtl/>
        </w:rPr>
        <w:t xml:space="preserve"> </w:t>
      </w:r>
      <w:r>
        <w:rPr>
          <w:rFonts w:hint="cs"/>
          <w:rtl/>
        </w:rPr>
        <w:t xml:space="preserve">בדרך עירונית או בדרך שאינה עירונית, כתלות בגיל הרוכב, בפעילות המבוצעת ובסוג כלי הרכב, </w:t>
      </w:r>
      <w:r w:rsidRPr="009851F5">
        <w:rPr>
          <w:rtl/>
        </w:rPr>
        <w:t>וזאת כדי להוסיף</w:t>
      </w:r>
      <w:r>
        <w:rPr>
          <w:rFonts w:hint="cs"/>
          <w:rtl/>
        </w:rPr>
        <w:t>,</w:t>
      </w:r>
      <w:r w:rsidRPr="009851F5">
        <w:rPr>
          <w:rtl/>
        </w:rPr>
        <w:t xml:space="preserve"> ולו במעט</w:t>
      </w:r>
      <w:r>
        <w:rPr>
          <w:rFonts w:hint="cs"/>
          <w:rtl/>
        </w:rPr>
        <w:t>,</w:t>
      </w:r>
      <w:r w:rsidRPr="009851F5">
        <w:rPr>
          <w:rtl/>
        </w:rPr>
        <w:t xml:space="preserve"> לבטיחות</w:t>
      </w:r>
      <w:r>
        <w:rPr>
          <w:rFonts w:hint="cs"/>
          <w:rtl/>
        </w:rPr>
        <w:t>ם</w:t>
      </w:r>
      <w:r w:rsidRPr="009851F5">
        <w:rPr>
          <w:rtl/>
        </w:rPr>
        <w:t xml:space="preserve"> </w:t>
      </w:r>
      <w:r>
        <w:rPr>
          <w:rFonts w:hint="cs"/>
          <w:rtl/>
        </w:rPr>
        <w:t>ו</w:t>
      </w:r>
      <w:r w:rsidRPr="009851F5">
        <w:rPr>
          <w:rFonts w:hint="eastAsia"/>
          <w:rtl/>
        </w:rPr>
        <w:t>לתרום</w:t>
      </w:r>
      <w:r w:rsidRPr="009851F5">
        <w:rPr>
          <w:rtl/>
        </w:rPr>
        <w:t xml:space="preserve"> </w:t>
      </w:r>
      <w:r w:rsidRPr="009851F5">
        <w:rPr>
          <w:rFonts w:hint="eastAsia"/>
          <w:rtl/>
        </w:rPr>
        <w:t>למאבק</w:t>
      </w:r>
      <w:r w:rsidRPr="009851F5">
        <w:rPr>
          <w:rtl/>
        </w:rPr>
        <w:t xml:space="preserve"> </w:t>
      </w:r>
      <w:r w:rsidRPr="009851F5">
        <w:rPr>
          <w:rFonts w:hint="eastAsia"/>
          <w:rtl/>
        </w:rPr>
        <w:t>בתאונות</w:t>
      </w:r>
      <w:r w:rsidRPr="009851F5">
        <w:rPr>
          <w:rtl/>
        </w:rPr>
        <w:t xml:space="preserve"> </w:t>
      </w:r>
      <w:r w:rsidRPr="009851F5">
        <w:rPr>
          <w:rFonts w:hint="eastAsia"/>
          <w:rtl/>
        </w:rPr>
        <w:t>הדרכים</w:t>
      </w:r>
      <w:r w:rsidRPr="009851F5">
        <w:rPr>
          <w:rtl/>
        </w:rPr>
        <w:t xml:space="preserve">. </w:t>
      </w:r>
    </w:p>
    <w:p w:rsidR="00E13C27" w:rsidRDefault="00B73FA3" w:rsidP="00ED7FDA">
      <w:pPr>
        <w:pStyle w:val="Hesber"/>
        <w:spacing w:line="240" w:lineRule="auto"/>
        <w:rPr>
          <w:rtl/>
        </w:rPr>
      </w:pPr>
      <w:r w:rsidRPr="009851F5">
        <w:rPr>
          <w:rFonts w:hint="eastAsia"/>
          <w:rtl/>
        </w:rPr>
        <w:t>הצעת</w:t>
      </w:r>
      <w:r w:rsidRPr="009851F5">
        <w:rPr>
          <w:rtl/>
        </w:rPr>
        <w:t xml:space="preserve"> חוק </w:t>
      </w:r>
      <w:r w:rsidRPr="003238DB">
        <w:rPr>
          <w:rFonts w:hint="eastAsia"/>
          <w:rtl/>
        </w:rPr>
        <w:t>דומה</w:t>
      </w:r>
      <w:r w:rsidRPr="009851F5">
        <w:rPr>
          <w:rtl/>
        </w:rPr>
        <w:t xml:space="preserve"> בעיקרה</w:t>
      </w:r>
      <w:r>
        <w:rPr>
          <w:rFonts w:hint="cs"/>
          <w:rtl/>
        </w:rPr>
        <w:t xml:space="preserve"> </w:t>
      </w:r>
      <w:r w:rsidRPr="009851F5">
        <w:rPr>
          <w:rFonts w:hint="eastAsia"/>
          <w:rtl/>
        </w:rPr>
        <w:t>הונחה</w:t>
      </w:r>
      <w:r w:rsidRPr="009851F5">
        <w:rPr>
          <w:rtl/>
        </w:rPr>
        <w:t xml:space="preserve"> על שולחן הכנסת </w:t>
      </w:r>
      <w:r>
        <w:rPr>
          <w:rFonts w:hint="cs"/>
          <w:rtl/>
        </w:rPr>
        <w:t xml:space="preserve">השמונה-עשרה </w:t>
      </w:r>
      <w:r w:rsidRPr="009851F5">
        <w:rPr>
          <w:rFonts w:hint="eastAsia"/>
          <w:rtl/>
        </w:rPr>
        <w:t>על</w:t>
      </w:r>
      <w:r w:rsidRPr="009851F5">
        <w:rPr>
          <w:rtl/>
        </w:rPr>
        <w:t xml:space="preserve"> ידי חבר הכנסת זאב </w:t>
      </w:r>
      <w:r w:rsidRPr="009851F5">
        <w:rPr>
          <w:rFonts w:hint="eastAsia"/>
          <w:rtl/>
        </w:rPr>
        <w:t>בילסקי</w:t>
      </w:r>
      <w:r w:rsidRPr="009851F5">
        <w:rPr>
          <w:rtl/>
        </w:rPr>
        <w:t xml:space="preserve"> </w:t>
      </w:r>
      <w:r>
        <w:rPr>
          <w:rFonts w:hint="cs"/>
          <w:rtl/>
        </w:rPr>
        <w:t>(</w:t>
      </w:r>
      <w:r w:rsidRPr="009851F5">
        <w:rPr>
          <w:rFonts w:hint="eastAsia"/>
          <w:rtl/>
        </w:rPr>
        <w:t>פ</w:t>
      </w:r>
      <w:r w:rsidRPr="009851F5">
        <w:rPr>
          <w:rtl/>
        </w:rPr>
        <w:t>/4532/18</w:t>
      </w:r>
      <w:r>
        <w:rPr>
          <w:rFonts w:hint="cs"/>
          <w:rtl/>
        </w:rPr>
        <w:t xml:space="preserve">). </w:t>
      </w:r>
    </w:p>
    <w:p w:rsidR="00D63EEB" w:rsidRPr="00ED7FDA" w:rsidRDefault="00D63EEB" w:rsidP="00ED7FDA">
      <w:pPr>
        <w:spacing w:before="0"/>
        <w:ind w:left="34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 w:rsidRPr="00ED7FDA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---------------------------------</w:t>
      </w:r>
    </w:p>
    <w:p w:rsidR="00D63EEB" w:rsidRPr="00ED7FDA" w:rsidRDefault="00D63EEB" w:rsidP="00ED7FDA">
      <w:pPr>
        <w:spacing w:before="0"/>
        <w:ind w:left="34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 w:rsidRPr="00ED7FDA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הוגשה ליו"ר הכנסת והסגנים</w:t>
      </w:r>
    </w:p>
    <w:p w:rsidR="00D63EEB" w:rsidRPr="00ED7FDA" w:rsidRDefault="00D63EEB" w:rsidP="00ED7FDA">
      <w:pPr>
        <w:spacing w:before="0"/>
        <w:ind w:left="34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ED7FDA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והונחה על שולחן הכנסת ביום</w:t>
      </w:r>
    </w:p>
    <w:p w:rsidR="00D63EEB" w:rsidRDefault="00D63EEB" w:rsidP="00ED7FDA">
      <w:pPr>
        <w:spacing w:before="0"/>
        <w:ind w:left="340"/>
        <w:rPr>
          <w:rtl/>
        </w:rPr>
      </w:pPr>
      <w:r w:rsidRPr="00ED7FDA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ט"ז בתמוז התשע"ג – 24.6.13</w:t>
      </w:r>
    </w:p>
    <w:sectPr w:rsidR="00D63EEB" w:rsidSect="00ED7FDA">
      <w:footerReference w:type="even" r:id="rId11"/>
      <w:footerReference w:type="default" r:id="rId12"/>
      <w:pgSz w:w="11907" w:h="16840" w:code="9"/>
      <w:pgMar w:top="851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D5" w:rsidRDefault="001C19D5">
      <w:r>
        <w:separator/>
      </w:r>
    </w:p>
  </w:endnote>
  <w:endnote w:type="continuationSeparator" w:id="0">
    <w:p w:rsidR="001C19D5" w:rsidRDefault="001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ED7FDA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D5" w:rsidRDefault="001C19D5">
      <w:r>
        <w:separator/>
      </w:r>
    </w:p>
  </w:footnote>
  <w:footnote w:type="continuationSeparator" w:id="0">
    <w:p w:rsidR="001C19D5" w:rsidRDefault="001C19D5">
      <w:r>
        <w:continuationSeparator/>
      </w:r>
    </w:p>
  </w:footnote>
  <w:footnote w:type="continuationNotice" w:id="1">
    <w:p w:rsidR="001C19D5" w:rsidRDefault="001C19D5"/>
  </w:footnote>
  <w:footnote w:id="2">
    <w:p w:rsidR="00B73FA3" w:rsidRDefault="00B73FA3" w:rsidP="00B73FA3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sz w:val="20"/>
          <w:rtl/>
          <w:lang w:eastAsia="he-IL"/>
        </w:rPr>
        <w:t>דיני מדינת ישראל, נוסח חדש 7, עמ' 173</w:t>
      </w:r>
      <w:r>
        <w:rPr>
          <w:sz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B701E"/>
    <w:multiLevelType w:val="hybridMultilevel"/>
    <w:tmpl w:val="8A8A681E"/>
    <w:lvl w:ilvl="0" w:tplc="28A21554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080lsCopyOriginal.docx"/>
    <w:docVar w:name="StartMode" w:val="2"/>
  </w:docVars>
  <w:rsids>
    <w:rsidRoot w:val="00DB7060"/>
    <w:rsid w:val="00015B27"/>
    <w:rsid w:val="000A542E"/>
    <w:rsid w:val="001207F8"/>
    <w:rsid w:val="00121924"/>
    <w:rsid w:val="001279A8"/>
    <w:rsid w:val="0014195F"/>
    <w:rsid w:val="00152609"/>
    <w:rsid w:val="00153E1B"/>
    <w:rsid w:val="001A0623"/>
    <w:rsid w:val="001C19D5"/>
    <w:rsid w:val="001C23B0"/>
    <w:rsid w:val="00203A7F"/>
    <w:rsid w:val="002200A1"/>
    <w:rsid w:val="002310A6"/>
    <w:rsid w:val="002362BF"/>
    <w:rsid w:val="00241B97"/>
    <w:rsid w:val="00243446"/>
    <w:rsid w:val="00254605"/>
    <w:rsid w:val="002728B4"/>
    <w:rsid w:val="00292712"/>
    <w:rsid w:val="002C2E29"/>
    <w:rsid w:val="003232A2"/>
    <w:rsid w:val="003710F6"/>
    <w:rsid w:val="00386E88"/>
    <w:rsid w:val="003B69F2"/>
    <w:rsid w:val="003D74A0"/>
    <w:rsid w:val="004033D8"/>
    <w:rsid w:val="004320B9"/>
    <w:rsid w:val="004D3876"/>
    <w:rsid w:val="004E4552"/>
    <w:rsid w:val="00553C9D"/>
    <w:rsid w:val="005B064E"/>
    <w:rsid w:val="005D51AE"/>
    <w:rsid w:val="00644940"/>
    <w:rsid w:val="006818A9"/>
    <w:rsid w:val="006C1D0D"/>
    <w:rsid w:val="006E490F"/>
    <w:rsid w:val="006F6E4B"/>
    <w:rsid w:val="0070601E"/>
    <w:rsid w:val="00765F66"/>
    <w:rsid w:val="007D5A12"/>
    <w:rsid w:val="007E59F9"/>
    <w:rsid w:val="00810BCD"/>
    <w:rsid w:val="00812C98"/>
    <w:rsid w:val="00814D92"/>
    <w:rsid w:val="00824568"/>
    <w:rsid w:val="00892135"/>
    <w:rsid w:val="00895449"/>
    <w:rsid w:val="00897879"/>
    <w:rsid w:val="008C2DDC"/>
    <w:rsid w:val="008F0D63"/>
    <w:rsid w:val="008F2C35"/>
    <w:rsid w:val="0091204F"/>
    <w:rsid w:val="009203DB"/>
    <w:rsid w:val="00943386"/>
    <w:rsid w:val="00957589"/>
    <w:rsid w:val="00982412"/>
    <w:rsid w:val="00A26BD6"/>
    <w:rsid w:val="00A4635F"/>
    <w:rsid w:val="00A82CB7"/>
    <w:rsid w:val="00AC36F7"/>
    <w:rsid w:val="00AC4B6A"/>
    <w:rsid w:val="00AE30EB"/>
    <w:rsid w:val="00B35784"/>
    <w:rsid w:val="00B73FA3"/>
    <w:rsid w:val="00BC45FB"/>
    <w:rsid w:val="00C1260F"/>
    <w:rsid w:val="00C9176A"/>
    <w:rsid w:val="00CA4FB2"/>
    <w:rsid w:val="00D63EEB"/>
    <w:rsid w:val="00D867D7"/>
    <w:rsid w:val="00DB7060"/>
    <w:rsid w:val="00DE3153"/>
    <w:rsid w:val="00E13C27"/>
    <w:rsid w:val="00E33BBD"/>
    <w:rsid w:val="00E45103"/>
    <w:rsid w:val="00E665B9"/>
    <w:rsid w:val="00EA01E6"/>
    <w:rsid w:val="00EA3128"/>
    <w:rsid w:val="00EA758F"/>
    <w:rsid w:val="00ED4A6F"/>
    <w:rsid w:val="00ED7FDA"/>
    <w:rsid w:val="00EF3A3A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A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73FA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73FA3"/>
    <w:rPr>
      <w:sz w:val="36"/>
      <w:szCs w:val="52"/>
    </w:rPr>
  </w:style>
  <w:style w:type="paragraph" w:customStyle="1" w:styleId="Cover3-Haknesset">
    <w:name w:val="Cover 3-Haknesset"/>
    <w:basedOn w:val="Cover1-Reshumot"/>
    <w:rsid w:val="00B73FA3"/>
    <w:rPr>
      <w:b/>
      <w:bCs/>
      <w:spacing w:val="60"/>
    </w:rPr>
  </w:style>
  <w:style w:type="paragraph" w:customStyle="1" w:styleId="Cover4-Date">
    <w:name w:val="Cover 4-Date"/>
    <w:basedOn w:val="a"/>
    <w:rsid w:val="00B73FA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73FA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73FA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73FA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73FA3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73FA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73FA3"/>
  </w:style>
  <w:style w:type="paragraph" w:customStyle="1" w:styleId="TableBlock">
    <w:name w:val="Table Block"/>
    <w:basedOn w:val="TableText"/>
    <w:rsid w:val="00B73FA3"/>
    <w:pPr>
      <w:ind w:right="0"/>
      <w:jc w:val="both"/>
    </w:pPr>
  </w:style>
  <w:style w:type="paragraph" w:customStyle="1" w:styleId="TableHead">
    <w:name w:val="Table Head"/>
    <w:basedOn w:val="TableText"/>
    <w:rsid w:val="00B73FA3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73FA3"/>
  </w:style>
  <w:style w:type="paragraph" w:customStyle="1" w:styleId="Hesber">
    <w:name w:val="Hesber"/>
    <w:basedOn w:val="a"/>
    <w:rsid w:val="00B73FA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73FA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B73FA3"/>
    <w:rPr>
      <w:vertAlign w:val="superscript"/>
    </w:rPr>
  </w:style>
  <w:style w:type="paragraph" w:customStyle="1" w:styleId="HesberHeading">
    <w:name w:val="Hesber Heading"/>
    <w:basedOn w:val="Hesber"/>
    <w:rsid w:val="00B73FA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73FA3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73FA3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73FA3"/>
    <w:rPr>
      <w:vertAlign w:val="superscript"/>
    </w:rPr>
  </w:style>
  <w:style w:type="paragraph" w:customStyle="1" w:styleId="TableBlockOutdent">
    <w:name w:val="Table BlockOutdent"/>
    <w:basedOn w:val="TableBlock"/>
    <w:rsid w:val="00B73FA3"/>
    <w:pPr>
      <w:ind w:left="624" w:hanging="624"/>
    </w:pPr>
  </w:style>
  <w:style w:type="paragraph" w:styleId="a7">
    <w:name w:val="header"/>
    <w:basedOn w:val="a"/>
    <w:rsid w:val="00B73FA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73FA3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73FA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73FA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73FA3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A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73FA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73FA3"/>
    <w:rPr>
      <w:sz w:val="36"/>
      <w:szCs w:val="52"/>
    </w:rPr>
  </w:style>
  <w:style w:type="paragraph" w:customStyle="1" w:styleId="Cover3-Haknesset">
    <w:name w:val="Cover 3-Haknesset"/>
    <w:basedOn w:val="Cover1-Reshumot"/>
    <w:rsid w:val="00B73FA3"/>
    <w:rPr>
      <w:b/>
      <w:bCs/>
      <w:spacing w:val="60"/>
    </w:rPr>
  </w:style>
  <w:style w:type="paragraph" w:customStyle="1" w:styleId="Cover4-Date">
    <w:name w:val="Cover 4-Date"/>
    <w:basedOn w:val="a"/>
    <w:rsid w:val="00B73FA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73FA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73FA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73FA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73FA3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73FA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73FA3"/>
  </w:style>
  <w:style w:type="paragraph" w:customStyle="1" w:styleId="TableBlock">
    <w:name w:val="Table Block"/>
    <w:basedOn w:val="TableText"/>
    <w:rsid w:val="00B73FA3"/>
    <w:pPr>
      <w:ind w:right="0"/>
      <w:jc w:val="both"/>
    </w:pPr>
  </w:style>
  <w:style w:type="paragraph" w:customStyle="1" w:styleId="TableHead">
    <w:name w:val="Table Head"/>
    <w:basedOn w:val="TableText"/>
    <w:rsid w:val="00B73FA3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73FA3"/>
  </w:style>
  <w:style w:type="paragraph" w:customStyle="1" w:styleId="Hesber">
    <w:name w:val="Hesber"/>
    <w:basedOn w:val="a"/>
    <w:rsid w:val="00B73FA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73FA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B73FA3"/>
    <w:rPr>
      <w:vertAlign w:val="superscript"/>
    </w:rPr>
  </w:style>
  <w:style w:type="paragraph" w:customStyle="1" w:styleId="HesberHeading">
    <w:name w:val="Hesber Heading"/>
    <w:basedOn w:val="Hesber"/>
    <w:rsid w:val="00B73FA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73FA3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73FA3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73FA3"/>
    <w:rPr>
      <w:vertAlign w:val="superscript"/>
    </w:rPr>
  </w:style>
  <w:style w:type="paragraph" w:customStyle="1" w:styleId="TableBlockOutdent">
    <w:name w:val="Table BlockOutdent"/>
    <w:basedOn w:val="TableBlock"/>
    <w:rsid w:val="00B73FA3"/>
    <w:pPr>
      <w:ind w:left="624" w:hanging="624"/>
    </w:pPr>
  </w:style>
  <w:style w:type="paragraph" w:styleId="a7">
    <w:name w:val="header"/>
    <w:basedOn w:val="a"/>
    <w:rsid w:val="00B73FA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73FA3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73FA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73FA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73FA3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DE508-6DC6-4196-8F90-060E0060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נאור שירי</dc:creator>
  <cp:lastModifiedBy>לילך יעיש</cp:lastModifiedBy>
  <cp:revision>2</cp:revision>
  <cp:lastPrinted>2013-06-20T07:06:00Z</cp:lastPrinted>
  <dcterms:created xsi:type="dcterms:W3CDTF">2013-06-20T07:06:00Z</dcterms:created>
  <dcterms:modified xsi:type="dcterms:W3CDTF">2013-06-20T07:06:00Z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