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564679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78FAD0E7" w:rsidR="00E13C27" w:rsidRPr="00CF1AA2" w:rsidRDefault="008F6665" w:rsidP="00F51B11">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תמר זנדברג</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אורלי לוי אבקסיס</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ינון מגל</w:t>
      </w:r>
      <w:r>
        <w:br/>
      </w:r>
      <w:r>
        <w:rPr>
          <w:rFonts w:hint="cs"/>
          <w:b/>
          <w:bCs/>
          <w:rtl/>
        </w:rPr>
        <w:t xml:space="preserve"> </w:t>
      </w:r>
      <w:r>
        <w:tab/>
      </w:r>
      <w:r>
        <w:tab/>
      </w:r>
      <w:r>
        <w:tab/>
      </w:r>
      <w:r>
        <w:tab/>
      </w:r>
      <w:r>
        <w:rPr>
          <w:rFonts w:hint="cs"/>
          <w:b/>
          <w:bCs/>
          <w:rtl/>
        </w:rPr>
        <w:t>נאוה בוקר</w:t>
      </w:r>
      <w:r>
        <w:br/>
      </w:r>
      <w:r>
        <w:rPr>
          <w:rFonts w:hint="cs"/>
          <w:b/>
          <w:bCs/>
          <w:rtl/>
        </w:rPr>
        <w:t xml:space="preserve"> </w:t>
      </w:r>
      <w:r>
        <w:tab/>
      </w:r>
      <w:r>
        <w:tab/>
      </w:r>
      <w:r>
        <w:tab/>
      </w:r>
      <w:r>
        <w:tab/>
      </w:r>
      <w:r>
        <w:rPr>
          <w:rFonts w:hint="cs"/>
          <w:b/>
          <w:bCs/>
          <w:rtl/>
        </w:rPr>
        <w:t>שרן השכל</w:t>
      </w:r>
      <w:r>
        <w:br/>
      </w:r>
      <w:r>
        <w:rPr>
          <w:rFonts w:hint="cs"/>
          <w:b/>
          <w:bCs/>
          <w:rtl/>
        </w:rPr>
        <w:t xml:space="preserve"> </w:t>
      </w:r>
      <w:r>
        <w:tab/>
      </w:r>
      <w:r>
        <w:tab/>
      </w:r>
      <w:r>
        <w:tab/>
      </w:r>
      <w:r>
        <w:tab/>
      </w:r>
      <w:r>
        <w:rPr>
          <w:rFonts w:hint="cs"/>
          <w:b/>
          <w:bCs/>
          <w:rtl/>
        </w:rPr>
        <w:t>מכלוף מיקי זוהר</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עליזה לביא</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אורי מקלב</w:t>
      </w:r>
      <w:r>
        <w:br/>
      </w:r>
      <w:r>
        <w:rPr>
          <w:rFonts w:hint="cs"/>
          <w:b/>
          <w:bCs/>
          <w:rtl/>
        </w:rPr>
        <w:t xml:space="preserve"> </w:t>
      </w:r>
      <w:r>
        <w:tab/>
      </w:r>
      <w:r>
        <w:tab/>
      </w:r>
      <w:r>
        <w:tab/>
      </w:r>
      <w:r>
        <w:tab/>
      </w:r>
      <w:r>
        <w:rPr>
          <w:rFonts w:hint="cs"/>
          <w:b/>
          <w:bCs/>
          <w:rtl/>
        </w:rPr>
        <w:t>איתן כבל</w:t>
      </w:r>
      <w:r>
        <w:br/>
      </w:r>
      <w:r>
        <w:rPr>
          <w:rFonts w:hint="cs"/>
          <w:b/>
          <w:bCs/>
          <w:rtl/>
        </w:rPr>
        <w:t xml:space="preserve"> </w:t>
      </w:r>
      <w:r>
        <w:tab/>
      </w:r>
      <w:r>
        <w:tab/>
      </w:r>
      <w:r>
        <w:tab/>
      </w:r>
      <w:r>
        <w:tab/>
      </w:r>
      <w:r>
        <w:rPr>
          <w:rFonts w:hint="cs"/>
          <w:b/>
          <w:bCs/>
          <w:rtl/>
        </w:rPr>
        <w:t>איציק שמולי</w:t>
      </w:r>
      <w:r>
        <w:br/>
      </w:r>
      <w:r>
        <w:rPr>
          <w:rFonts w:hint="cs"/>
          <w:b/>
          <w:bCs/>
          <w:rtl/>
        </w:rPr>
        <w:t xml:space="preserve"> </w:t>
      </w:r>
      <w:r>
        <w:tab/>
      </w:r>
      <w:r>
        <w:tab/>
      </w:r>
      <w:r>
        <w:tab/>
      </w:r>
      <w:r>
        <w:tab/>
      </w:r>
      <w:r>
        <w:rPr>
          <w:rFonts w:hint="cs"/>
          <w:b/>
          <w:bCs/>
          <w:rtl/>
        </w:rPr>
        <w:t>קארין אלהרר</w:t>
      </w:r>
      <w:r>
        <w:br/>
      </w:r>
      <w:r>
        <w:rPr>
          <w:rFonts w:hint="cs"/>
          <w:b/>
          <w:bCs/>
          <w:rtl/>
        </w:rPr>
        <w:t xml:space="preserve"> </w:t>
      </w:r>
      <w:r>
        <w:tab/>
      </w:r>
      <w:r>
        <w:tab/>
      </w:r>
      <w:r>
        <w:tab/>
      </w:r>
      <w:r>
        <w:tab/>
      </w:r>
      <w:r>
        <w:rPr>
          <w:rFonts w:hint="cs"/>
          <w:b/>
          <w:bCs/>
          <w:rtl/>
        </w:rPr>
        <w:t>עאידה תומא סלימאן</w:t>
      </w:r>
      <w:r>
        <w:br/>
      </w:r>
      <w:r>
        <w:rPr>
          <w:rFonts w:hint="cs"/>
          <w:b/>
          <w:bCs/>
          <w:rtl/>
        </w:rPr>
        <w:t xml:space="preserve"> </w:t>
      </w:r>
      <w:r>
        <w:tab/>
      </w:r>
      <w:r>
        <w:tab/>
      </w:r>
      <w:r>
        <w:tab/>
      </w:r>
      <w:r>
        <w:tab/>
      </w:r>
      <w:r>
        <w:rPr>
          <w:rFonts w:hint="cs"/>
          <w:b/>
          <w:bCs/>
          <w:rtl/>
        </w:rPr>
        <w:t>דב חנין</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65DCE839" w:rsidR="00E13C27" w:rsidRDefault="00F51B11" w:rsidP="00F51B11">
      <w:pPr>
        <w:pStyle w:val="David"/>
        <w:spacing w:before="0" w:line="240" w:lineRule="auto"/>
        <w:ind w:left="4320"/>
        <w:rPr>
          <w:rtl/>
        </w:rPr>
      </w:pPr>
      <w:r>
        <w:rPr>
          <w:rFonts w:hint="cs"/>
          <w:rtl/>
        </w:rPr>
        <w:t xml:space="preserve">        </w:t>
      </w:r>
      <w:r w:rsidR="00904591">
        <w:t xml:space="preserve">                         </w:t>
      </w:r>
      <w:r>
        <w:rPr>
          <w:rFonts w:hint="cs"/>
          <w:rtl/>
        </w:rPr>
        <w:t>פ/2235/20</w:t>
      </w:r>
    </w:p>
    <w:p w14:paraId="7F6961AD" w14:textId="013BF9CD" w:rsidR="00E13C27" w:rsidRPr="00F67051" w:rsidRDefault="00A443CF" w:rsidP="0021633A">
      <w:pPr>
        <w:pStyle w:val="HeadHatzaotHok"/>
        <w:rPr>
          <w:rtl/>
        </w:rPr>
      </w:pPr>
      <w:bookmarkStart w:id="6" w:name="LGS_Subject"/>
      <w:r>
        <w:rPr>
          <w:rFonts w:hint="cs"/>
          <w:rtl/>
        </w:rPr>
        <w:t>הצעת חוק עבודת נשים (תיקון – חופשת אבהות), התשע"ו–2015</w:t>
      </w:r>
      <w:bookmarkEnd w:id="6"/>
    </w:p>
    <w:p w14:paraId="7F6961AE" w14:textId="77777777" w:rsidR="00E13C27" w:rsidRDefault="00E13C27" w:rsidP="0021633A">
      <w:pPr>
        <w:pStyle w:val="HeadDivreiHesber"/>
        <w:spacing w:before="0" w:after="0"/>
        <w:rPr>
          <w:rtl/>
        </w:rPr>
      </w:pPr>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1873"/>
        <w:gridCol w:w="624"/>
        <w:gridCol w:w="624"/>
        <w:gridCol w:w="624"/>
        <w:gridCol w:w="5900"/>
      </w:tblGrid>
      <w:tr w:rsidR="00437D28" w14:paraId="34089012" w14:textId="77777777" w:rsidTr="00086C6D">
        <w:trPr>
          <w:cantSplit/>
          <w:trHeight w:val="60"/>
        </w:trPr>
        <w:tc>
          <w:tcPr>
            <w:tcW w:w="1873" w:type="dxa"/>
            <w:hideMark/>
          </w:tcPr>
          <w:p w14:paraId="4AF6550F" w14:textId="77777777" w:rsidR="00437D28" w:rsidRPr="006B1E08" w:rsidRDefault="00437D28" w:rsidP="00086C6D">
            <w:pPr>
              <w:pStyle w:val="TableSideHeading"/>
              <w:ind w:right="0"/>
            </w:pPr>
            <w:r w:rsidRPr="006B1E08">
              <w:rPr>
                <w:rtl/>
              </w:rPr>
              <w:t>תיקון סעיף 7</w:t>
            </w:r>
          </w:p>
        </w:tc>
        <w:tc>
          <w:tcPr>
            <w:tcW w:w="624" w:type="dxa"/>
          </w:tcPr>
          <w:p w14:paraId="6729F989" w14:textId="77777777" w:rsidR="00437D28" w:rsidRPr="006B1E08" w:rsidRDefault="00437D28" w:rsidP="00086C6D">
            <w:pPr>
              <w:pStyle w:val="TableText"/>
              <w:ind w:right="0"/>
              <w:jc w:val="both"/>
            </w:pPr>
            <w:r w:rsidRPr="006B1E08">
              <w:rPr>
                <w:rtl/>
              </w:rPr>
              <w:t>1.</w:t>
            </w:r>
          </w:p>
        </w:tc>
        <w:tc>
          <w:tcPr>
            <w:tcW w:w="7148" w:type="dxa"/>
            <w:gridSpan w:val="3"/>
            <w:hideMark/>
          </w:tcPr>
          <w:p w14:paraId="5056FBD9" w14:textId="77777777" w:rsidR="00437D28" w:rsidRPr="006B1E08" w:rsidRDefault="00437D28" w:rsidP="00086C6D">
            <w:pPr>
              <w:pStyle w:val="TableBlock"/>
            </w:pPr>
            <w:r w:rsidRPr="006B1E08">
              <w:rPr>
                <w:rtl/>
              </w:rPr>
              <w:t>בחוק עבודת נשים, התשי"ד–1954</w:t>
            </w:r>
            <w:r w:rsidRPr="005D744D">
              <w:rPr>
                <w:vertAlign w:val="superscript"/>
                <w:rtl/>
              </w:rPr>
              <w:footnoteReference w:id="2"/>
            </w:r>
            <w:r w:rsidRPr="006B1E08">
              <w:rPr>
                <w:rtl/>
              </w:rPr>
              <w:t xml:space="preserve">, </w:t>
            </w:r>
            <w:r>
              <w:rPr>
                <w:rtl/>
              </w:rPr>
              <w:t xml:space="preserve">בסעיף 7, </w:t>
            </w:r>
            <w:r w:rsidRPr="006B1E08">
              <w:rPr>
                <w:rtl/>
              </w:rPr>
              <w:t>אחרי סעיף קטן (ג2) יבוא:</w:t>
            </w:r>
          </w:p>
        </w:tc>
      </w:tr>
      <w:tr w:rsidR="00437D28" w14:paraId="0BEB17EE" w14:textId="77777777" w:rsidTr="00086C6D">
        <w:trPr>
          <w:cantSplit/>
          <w:trHeight w:val="60"/>
        </w:trPr>
        <w:tc>
          <w:tcPr>
            <w:tcW w:w="1873" w:type="dxa"/>
          </w:tcPr>
          <w:p w14:paraId="478BCD05" w14:textId="77777777" w:rsidR="00437D28" w:rsidRDefault="00437D28" w:rsidP="00086C6D">
            <w:pPr>
              <w:keepLines/>
              <w:tabs>
                <w:tab w:val="left" w:pos="624"/>
                <w:tab w:val="left" w:pos="1247"/>
              </w:tabs>
              <w:snapToGrid w:val="0"/>
              <w:spacing w:line="360" w:lineRule="auto"/>
              <w:ind w:right="57"/>
              <w:rPr>
                <w:rFonts w:ascii="Arial" w:eastAsia="Arial Unicode MS" w:hAnsi="Arial" w:cs="David"/>
                <w:snapToGrid w:val="0"/>
                <w:sz w:val="20"/>
                <w:szCs w:val="26"/>
              </w:rPr>
            </w:pPr>
          </w:p>
        </w:tc>
        <w:tc>
          <w:tcPr>
            <w:tcW w:w="624" w:type="dxa"/>
          </w:tcPr>
          <w:p w14:paraId="5945016C" w14:textId="77777777" w:rsidR="00437D28" w:rsidRDefault="00437D28" w:rsidP="00086C6D">
            <w:pPr>
              <w:keepLines/>
              <w:tabs>
                <w:tab w:val="left" w:pos="624"/>
                <w:tab w:val="left" w:pos="1247"/>
              </w:tabs>
              <w:snapToGrid w:val="0"/>
              <w:spacing w:line="360" w:lineRule="auto"/>
              <w:ind w:right="57"/>
              <w:rPr>
                <w:rFonts w:ascii="Arial" w:eastAsia="Arial Unicode MS" w:hAnsi="Arial" w:cs="David"/>
                <w:snapToGrid w:val="0"/>
                <w:sz w:val="20"/>
                <w:szCs w:val="26"/>
              </w:rPr>
            </w:pPr>
          </w:p>
        </w:tc>
        <w:tc>
          <w:tcPr>
            <w:tcW w:w="7148" w:type="dxa"/>
            <w:gridSpan w:val="3"/>
          </w:tcPr>
          <w:p w14:paraId="47546673" w14:textId="77777777" w:rsidR="00437D28" w:rsidRPr="006B1E08" w:rsidRDefault="00437D28" w:rsidP="00086C6D">
            <w:pPr>
              <w:pStyle w:val="TableBlock"/>
            </w:pPr>
            <w:r>
              <w:rPr>
                <w:rtl/>
              </w:rPr>
              <w:t>"(ג3)</w:t>
            </w:r>
            <w:r>
              <w:rPr>
                <w:rtl/>
              </w:rPr>
              <w:tab/>
            </w:r>
            <w:r w:rsidRPr="006B1E08">
              <w:rPr>
                <w:rtl/>
              </w:rPr>
              <w:t>עובד רשאי להיעדר מעבודתו –</w:t>
            </w:r>
          </w:p>
        </w:tc>
      </w:tr>
      <w:tr w:rsidR="00437D28" w14:paraId="494730E0" w14:textId="77777777" w:rsidTr="00086C6D">
        <w:trPr>
          <w:cantSplit/>
          <w:trHeight w:val="60"/>
        </w:trPr>
        <w:tc>
          <w:tcPr>
            <w:tcW w:w="1873" w:type="dxa"/>
          </w:tcPr>
          <w:p w14:paraId="5501CA3F" w14:textId="77777777" w:rsidR="00437D28" w:rsidRDefault="00437D28" w:rsidP="00086C6D">
            <w:pPr>
              <w:pStyle w:val="TableSideHeading"/>
            </w:pPr>
          </w:p>
        </w:tc>
        <w:tc>
          <w:tcPr>
            <w:tcW w:w="624" w:type="dxa"/>
          </w:tcPr>
          <w:p w14:paraId="40B8A2FC" w14:textId="77777777" w:rsidR="00437D28" w:rsidRDefault="00437D28" w:rsidP="00086C6D">
            <w:pPr>
              <w:pStyle w:val="TableText"/>
            </w:pPr>
          </w:p>
        </w:tc>
        <w:tc>
          <w:tcPr>
            <w:tcW w:w="624" w:type="dxa"/>
          </w:tcPr>
          <w:p w14:paraId="06517E0F" w14:textId="77777777" w:rsidR="00437D28" w:rsidRDefault="00437D28" w:rsidP="00086C6D">
            <w:pPr>
              <w:pStyle w:val="TableText"/>
            </w:pPr>
          </w:p>
        </w:tc>
        <w:tc>
          <w:tcPr>
            <w:tcW w:w="6524" w:type="dxa"/>
            <w:gridSpan w:val="2"/>
          </w:tcPr>
          <w:p w14:paraId="7F5DB720" w14:textId="77777777" w:rsidR="00437D28" w:rsidRDefault="00437D28" w:rsidP="00086C6D">
            <w:pPr>
              <w:pStyle w:val="TableBlock"/>
            </w:pPr>
            <w:r>
              <w:rPr>
                <w:rtl/>
              </w:rPr>
              <w:t>(1)</w:t>
            </w:r>
            <w:r>
              <w:rPr>
                <w:rtl/>
              </w:rPr>
              <w:tab/>
            </w:r>
            <w:r w:rsidRPr="006B1E08">
              <w:rPr>
                <w:rtl/>
              </w:rPr>
              <w:t>עד שלושה ימים, לצורך ליווי בת הזוג לטיפולים או בדיקות הקשורים להריונה;</w:t>
            </w:r>
            <w:r>
              <w:rPr>
                <w:rtl/>
              </w:rPr>
              <w:t xml:space="preserve"> </w:t>
            </w:r>
            <w:r w:rsidRPr="0026455D">
              <w:rPr>
                <w:rtl/>
              </w:rPr>
              <w:t>דין היעדרות לפי פסקה זו כדין היעדרות מפאת מחלה;</w:t>
            </w:r>
          </w:p>
        </w:tc>
      </w:tr>
      <w:tr w:rsidR="00437D28" w14:paraId="2769A3AF" w14:textId="77777777" w:rsidTr="00086C6D">
        <w:trPr>
          <w:cantSplit/>
          <w:trHeight w:val="60"/>
        </w:trPr>
        <w:tc>
          <w:tcPr>
            <w:tcW w:w="1873" w:type="dxa"/>
          </w:tcPr>
          <w:p w14:paraId="4B2ACA94" w14:textId="77777777" w:rsidR="00437D28" w:rsidRDefault="00437D28" w:rsidP="00086C6D">
            <w:pPr>
              <w:pStyle w:val="TableSideHeading"/>
            </w:pPr>
          </w:p>
        </w:tc>
        <w:tc>
          <w:tcPr>
            <w:tcW w:w="624" w:type="dxa"/>
          </w:tcPr>
          <w:p w14:paraId="43AA7B5D" w14:textId="77777777" w:rsidR="00437D28" w:rsidRDefault="00437D28" w:rsidP="00086C6D">
            <w:pPr>
              <w:pStyle w:val="TableText"/>
            </w:pPr>
          </w:p>
        </w:tc>
        <w:tc>
          <w:tcPr>
            <w:tcW w:w="624" w:type="dxa"/>
          </w:tcPr>
          <w:p w14:paraId="7E4B7254" w14:textId="77777777" w:rsidR="00437D28" w:rsidRDefault="00437D28" w:rsidP="00086C6D">
            <w:pPr>
              <w:pStyle w:val="TableText"/>
            </w:pPr>
          </w:p>
        </w:tc>
        <w:tc>
          <w:tcPr>
            <w:tcW w:w="6524" w:type="dxa"/>
            <w:gridSpan w:val="2"/>
          </w:tcPr>
          <w:p w14:paraId="2F6DEEA9" w14:textId="77777777" w:rsidR="00437D28" w:rsidRPr="00E57F49" w:rsidRDefault="00437D28" w:rsidP="00086C6D">
            <w:pPr>
              <w:pStyle w:val="TableBlock"/>
              <w:rPr>
                <w:rtl/>
              </w:rPr>
            </w:pPr>
            <w:r w:rsidRPr="00E57F49">
              <w:rPr>
                <w:rtl/>
              </w:rPr>
              <w:t>(2)</w:t>
            </w:r>
            <w:r w:rsidRPr="00E57F49">
              <w:rPr>
                <w:rtl/>
              </w:rPr>
              <w:tab/>
              <w:t>לצורך נוכחות בלידה של בת זוגו; לענ</w:t>
            </w:r>
            <w:r>
              <w:rPr>
                <w:rtl/>
              </w:rPr>
              <w:t>י</w:t>
            </w:r>
            <w:r w:rsidRPr="00E57F49">
              <w:rPr>
                <w:rtl/>
              </w:rPr>
              <w:t>ין זה, "לידה" – מתחילת הופעתם של צירי לידה ועד 24 שעות מתום הלידה</w:t>
            </w:r>
            <w:r>
              <w:rPr>
                <w:rtl/>
              </w:rPr>
              <w:t>; דין היעדרות לפי פסקה זו כדין היעדרות מפאת מחלה;</w:t>
            </w:r>
          </w:p>
        </w:tc>
      </w:tr>
      <w:tr w:rsidR="00437D28" w14:paraId="4F35B4FD" w14:textId="77777777" w:rsidTr="00086C6D">
        <w:trPr>
          <w:cantSplit/>
          <w:trHeight w:val="60"/>
        </w:trPr>
        <w:tc>
          <w:tcPr>
            <w:tcW w:w="1873" w:type="dxa"/>
          </w:tcPr>
          <w:p w14:paraId="1AB945B2" w14:textId="77777777" w:rsidR="00437D28" w:rsidRDefault="00437D28" w:rsidP="00086C6D">
            <w:pPr>
              <w:pStyle w:val="TableSideHeading"/>
            </w:pPr>
          </w:p>
        </w:tc>
        <w:tc>
          <w:tcPr>
            <w:tcW w:w="624" w:type="dxa"/>
          </w:tcPr>
          <w:p w14:paraId="50B37E54" w14:textId="77777777" w:rsidR="00437D28" w:rsidRDefault="00437D28" w:rsidP="00086C6D">
            <w:pPr>
              <w:pStyle w:val="TableText"/>
            </w:pPr>
          </w:p>
        </w:tc>
        <w:tc>
          <w:tcPr>
            <w:tcW w:w="624" w:type="dxa"/>
          </w:tcPr>
          <w:p w14:paraId="11022CFE" w14:textId="77777777" w:rsidR="00437D28" w:rsidRDefault="00437D28" w:rsidP="00086C6D">
            <w:pPr>
              <w:pStyle w:val="TableText"/>
            </w:pPr>
          </w:p>
        </w:tc>
        <w:tc>
          <w:tcPr>
            <w:tcW w:w="6524" w:type="dxa"/>
            <w:gridSpan w:val="2"/>
          </w:tcPr>
          <w:p w14:paraId="1B84C2E6" w14:textId="77777777" w:rsidR="00437D28" w:rsidRDefault="00437D28" w:rsidP="00086C6D">
            <w:pPr>
              <w:pStyle w:val="TableBlock"/>
              <w:rPr>
                <w:rtl/>
              </w:rPr>
            </w:pPr>
            <w:r>
              <w:rPr>
                <w:rtl/>
              </w:rPr>
              <w:t>(3)</w:t>
            </w:r>
            <w:r>
              <w:rPr>
                <w:rtl/>
              </w:rPr>
              <w:tab/>
              <w:t>עד שמונה ימים מיום הלידה של בת זוגו; דין היעדרות זו –</w:t>
            </w:r>
          </w:p>
        </w:tc>
      </w:tr>
      <w:tr w:rsidR="00437D28" w14:paraId="039286EE" w14:textId="77777777" w:rsidTr="00086C6D">
        <w:trPr>
          <w:cantSplit/>
          <w:trHeight w:val="60"/>
        </w:trPr>
        <w:tc>
          <w:tcPr>
            <w:tcW w:w="1873" w:type="dxa"/>
          </w:tcPr>
          <w:p w14:paraId="5A6D3A08" w14:textId="77777777" w:rsidR="00437D28" w:rsidRDefault="00437D28" w:rsidP="00086C6D">
            <w:pPr>
              <w:pStyle w:val="TableSideHeading"/>
            </w:pPr>
          </w:p>
        </w:tc>
        <w:tc>
          <w:tcPr>
            <w:tcW w:w="624" w:type="dxa"/>
          </w:tcPr>
          <w:p w14:paraId="2B5822DE" w14:textId="77777777" w:rsidR="00437D28" w:rsidRDefault="00437D28" w:rsidP="00086C6D">
            <w:pPr>
              <w:pStyle w:val="TableText"/>
            </w:pPr>
          </w:p>
        </w:tc>
        <w:tc>
          <w:tcPr>
            <w:tcW w:w="624" w:type="dxa"/>
          </w:tcPr>
          <w:p w14:paraId="6F3E6FF1" w14:textId="77777777" w:rsidR="00437D28" w:rsidRDefault="00437D28" w:rsidP="00086C6D">
            <w:pPr>
              <w:pStyle w:val="TableText"/>
            </w:pPr>
          </w:p>
        </w:tc>
        <w:tc>
          <w:tcPr>
            <w:tcW w:w="624" w:type="dxa"/>
          </w:tcPr>
          <w:p w14:paraId="495973D3" w14:textId="77777777" w:rsidR="00437D28" w:rsidRDefault="00437D28" w:rsidP="00086C6D">
            <w:pPr>
              <w:pStyle w:val="TableText"/>
            </w:pPr>
          </w:p>
        </w:tc>
        <w:tc>
          <w:tcPr>
            <w:tcW w:w="5900" w:type="dxa"/>
          </w:tcPr>
          <w:p w14:paraId="07BD487D" w14:textId="77777777" w:rsidR="00437D28" w:rsidRDefault="00437D28" w:rsidP="00086C6D">
            <w:pPr>
              <w:pStyle w:val="TableBlock"/>
            </w:pPr>
            <w:r w:rsidRPr="006B1E08">
              <w:rPr>
                <w:rtl/>
              </w:rPr>
              <w:t>(א)</w:t>
            </w:r>
            <w:r w:rsidRPr="006B1E08">
              <w:rPr>
                <w:rtl/>
              </w:rPr>
              <w:tab/>
              <w:t xml:space="preserve">לעניין </w:t>
            </w:r>
            <w:r>
              <w:rPr>
                <w:rtl/>
              </w:rPr>
              <w:t xml:space="preserve">שלושה ימי </w:t>
            </w:r>
            <w:r w:rsidRPr="006B1E08">
              <w:rPr>
                <w:rtl/>
              </w:rPr>
              <w:t>ההיעדרות הראשונים – דין ההיעדרות כדין חופשה שנתית, ואם אין עומדים לזכותו של העובד ימי חופשה – דין ההיעדרות באותם ימים כדין חופשה ללא תשלום;</w:t>
            </w:r>
          </w:p>
        </w:tc>
      </w:tr>
      <w:tr w:rsidR="00437D28" w14:paraId="7F675383" w14:textId="77777777" w:rsidTr="00086C6D">
        <w:trPr>
          <w:cantSplit/>
          <w:trHeight w:val="60"/>
        </w:trPr>
        <w:tc>
          <w:tcPr>
            <w:tcW w:w="1873" w:type="dxa"/>
          </w:tcPr>
          <w:p w14:paraId="274F0FAF" w14:textId="77777777" w:rsidR="00437D28" w:rsidRDefault="00437D28" w:rsidP="00086C6D">
            <w:pPr>
              <w:pStyle w:val="TableSideHeading"/>
            </w:pPr>
          </w:p>
        </w:tc>
        <w:tc>
          <w:tcPr>
            <w:tcW w:w="624" w:type="dxa"/>
          </w:tcPr>
          <w:p w14:paraId="1F198165" w14:textId="77777777" w:rsidR="00437D28" w:rsidRDefault="00437D28" w:rsidP="00086C6D">
            <w:pPr>
              <w:pStyle w:val="TableText"/>
            </w:pPr>
          </w:p>
        </w:tc>
        <w:tc>
          <w:tcPr>
            <w:tcW w:w="624" w:type="dxa"/>
          </w:tcPr>
          <w:p w14:paraId="3085CAD9" w14:textId="77777777" w:rsidR="00437D28" w:rsidRDefault="00437D28" w:rsidP="00086C6D">
            <w:pPr>
              <w:pStyle w:val="TableText"/>
            </w:pPr>
          </w:p>
        </w:tc>
        <w:tc>
          <w:tcPr>
            <w:tcW w:w="624" w:type="dxa"/>
          </w:tcPr>
          <w:p w14:paraId="17C3A16E" w14:textId="77777777" w:rsidR="00437D28" w:rsidRDefault="00437D28" w:rsidP="00086C6D">
            <w:pPr>
              <w:pStyle w:val="TableText"/>
            </w:pPr>
          </w:p>
        </w:tc>
        <w:tc>
          <w:tcPr>
            <w:tcW w:w="5900" w:type="dxa"/>
          </w:tcPr>
          <w:p w14:paraId="4714AE16" w14:textId="5BBD6CCD" w:rsidR="00437D28" w:rsidRDefault="00437D28" w:rsidP="00086C6D">
            <w:pPr>
              <w:pStyle w:val="TableBlock"/>
            </w:pPr>
            <w:r w:rsidRPr="006B1E08">
              <w:rPr>
                <w:rtl/>
              </w:rPr>
              <w:t>(ב)</w:t>
            </w:r>
            <w:r w:rsidRPr="006B1E08">
              <w:rPr>
                <w:rtl/>
              </w:rPr>
              <w:tab/>
              <w:t>לעניין</w:t>
            </w:r>
            <w:r>
              <w:rPr>
                <w:rtl/>
              </w:rPr>
              <w:t xml:space="preserve"> חמישה ימי ההיעדרות הנותרים </w:t>
            </w:r>
            <w:r w:rsidRPr="006B1E08">
              <w:rPr>
                <w:rtl/>
              </w:rPr>
              <w:t xml:space="preserve">– דין </w:t>
            </w:r>
            <w:r w:rsidR="00F51B11">
              <w:rPr>
                <w:rtl/>
              </w:rPr>
              <w:t>ההיעדרות כדין היעדרות מפאת מחלה</w:t>
            </w:r>
            <w:r w:rsidR="00F51B11">
              <w:rPr>
                <w:rFonts w:hint="cs"/>
                <w:rtl/>
              </w:rPr>
              <w:t>.</w:t>
            </w:r>
            <w:r w:rsidRPr="006B1E08">
              <w:rPr>
                <w:rtl/>
              </w:rPr>
              <w:t>"</w:t>
            </w:r>
            <w:r>
              <w:rPr>
                <w:rtl/>
              </w:rPr>
              <w:t>.</w:t>
            </w:r>
          </w:p>
        </w:tc>
      </w:tr>
      <w:tr w:rsidR="00437D28" w14:paraId="25520287" w14:textId="77777777" w:rsidTr="00086C6D">
        <w:trPr>
          <w:cantSplit/>
          <w:trHeight w:val="60"/>
        </w:trPr>
        <w:tc>
          <w:tcPr>
            <w:tcW w:w="1873" w:type="dxa"/>
            <w:hideMark/>
          </w:tcPr>
          <w:p w14:paraId="39FBBA68" w14:textId="77777777" w:rsidR="00437D28" w:rsidRPr="006B1E08" w:rsidRDefault="00437D28" w:rsidP="00086C6D">
            <w:pPr>
              <w:pStyle w:val="TableSideHeading"/>
              <w:ind w:right="0"/>
            </w:pPr>
            <w:r w:rsidRPr="006B1E08">
              <w:rPr>
                <w:rtl/>
              </w:rPr>
              <w:t>ביטול חוק דמי מחלה (היעדרות עקב הריון ולידה של בת זוג)</w:t>
            </w:r>
          </w:p>
        </w:tc>
        <w:tc>
          <w:tcPr>
            <w:tcW w:w="624" w:type="dxa"/>
          </w:tcPr>
          <w:p w14:paraId="092AFE54" w14:textId="77777777" w:rsidR="00437D28" w:rsidRPr="006B1E08" w:rsidRDefault="00437D28" w:rsidP="00086C6D">
            <w:pPr>
              <w:pStyle w:val="TableText"/>
              <w:ind w:right="0"/>
              <w:jc w:val="both"/>
            </w:pPr>
            <w:r w:rsidRPr="006B1E08">
              <w:rPr>
                <w:rtl/>
              </w:rPr>
              <w:t>2.</w:t>
            </w:r>
          </w:p>
        </w:tc>
        <w:tc>
          <w:tcPr>
            <w:tcW w:w="7148" w:type="dxa"/>
            <w:gridSpan w:val="3"/>
            <w:hideMark/>
          </w:tcPr>
          <w:p w14:paraId="516B8820" w14:textId="77777777" w:rsidR="00437D28" w:rsidRPr="006B1E08" w:rsidRDefault="00437D28" w:rsidP="00086C6D">
            <w:pPr>
              <w:pStyle w:val="TableBlock"/>
            </w:pPr>
            <w:r w:rsidRPr="006B1E08">
              <w:rPr>
                <w:rtl/>
              </w:rPr>
              <w:t>חוק דמי מחלה (היעדרות עקב הריון ולידה של בת זוג), התש"ס</w:t>
            </w:r>
            <w:r>
              <w:rPr>
                <w:rtl/>
              </w:rPr>
              <w:t>–</w:t>
            </w:r>
            <w:r w:rsidRPr="006B1E08">
              <w:rPr>
                <w:rtl/>
              </w:rPr>
              <w:t>2000</w:t>
            </w:r>
            <w:r w:rsidRPr="005D744D">
              <w:rPr>
                <w:vertAlign w:val="superscript"/>
                <w:rtl/>
              </w:rPr>
              <w:footnoteReference w:id="3"/>
            </w:r>
            <w:r w:rsidRPr="006B1E08">
              <w:rPr>
                <w:rtl/>
              </w:rPr>
              <w:t xml:space="preserve"> – בטל.</w:t>
            </w:r>
          </w:p>
        </w:tc>
      </w:tr>
    </w:tbl>
    <w:p w14:paraId="31D29646" w14:textId="77777777" w:rsidR="00437D28" w:rsidRPr="006B1E08" w:rsidRDefault="00437D28" w:rsidP="00437D28">
      <w:pPr>
        <w:pStyle w:val="HeadDivreiHesber"/>
        <w:rPr>
          <w:sz w:val="28"/>
          <w:szCs w:val="28"/>
          <w:rtl/>
        </w:rPr>
      </w:pPr>
      <w:r w:rsidRPr="006B1E08">
        <w:rPr>
          <w:sz w:val="28"/>
          <w:szCs w:val="28"/>
          <w:rtl/>
        </w:rPr>
        <w:t>דברי הסבר</w:t>
      </w:r>
    </w:p>
    <w:p w14:paraId="76DBB951" w14:textId="5C71575C" w:rsidR="00437D28" w:rsidRPr="002C79A5" w:rsidRDefault="00437D28" w:rsidP="00F51B11">
      <w:pPr>
        <w:pStyle w:val="Hesber"/>
        <w:spacing w:line="240" w:lineRule="auto"/>
        <w:rPr>
          <w:rtl/>
        </w:rPr>
      </w:pPr>
      <w:r w:rsidRPr="002C79A5">
        <w:rPr>
          <w:rtl/>
        </w:rPr>
        <w:t>ישראל היא מדינה מתקדמת בכל הנוגע לזכויות נשים בהיריון ובחופשת הלידה, אך ל</w:t>
      </w:r>
      <w:r w:rsidR="00F51B11">
        <w:rPr>
          <w:rFonts w:hint="cs"/>
          <w:rtl/>
        </w:rPr>
        <w:t xml:space="preserve">עניין </w:t>
      </w:r>
      <w:r w:rsidRPr="002C79A5">
        <w:rPr>
          <w:rtl/>
        </w:rPr>
        <w:t>חופשת אבהות, או חופשה הורית, היא נמצאת מאחור. בהשוואה להמלצות הארגונים הבינלאומיים ומרבית מדינות ה-</w:t>
      </w:r>
      <w:r w:rsidRPr="002C79A5">
        <w:t>OECD</w:t>
      </w:r>
      <w:r w:rsidRPr="002C79A5">
        <w:rPr>
          <w:rtl/>
        </w:rPr>
        <w:t xml:space="preserve"> ישראל מפגרת כיום באופן משמעותי במאמץ שהיא עושה להבטיח הורות שוויונית יותר על ידי עידוד חופשות הלידה לגברים ושילובם במהלך ההיריון (</w:t>
      </w:r>
      <w:r w:rsidRPr="00523B68">
        <w:rPr>
          <w:b/>
          <w:bCs/>
          <w:rtl/>
        </w:rPr>
        <w:t>חופשת לידה וחזרה הדרגתית לעבודה</w:t>
      </w:r>
      <w:r w:rsidRPr="00C91F6D">
        <w:rPr>
          <w:rtl/>
        </w:rPr>
        <w:t>,</w:t>
      </w:r>
      <w:r w:rsidRPr="002C79A5">
        <w:rPr>
          <w:rtl/>
        </w:rPr>
        <w:t xml:space="preserve"> רעות הררי קמר ואסנת פיכטלברג-ברמץ, סקירת משרד הכלכלה לקראת יום האישה 2012).</w:t>
      </w:r>
    </w:p>
    <w:p w14:paraId="666159FA" w14:textId="409B4270" w:rsidR="00437D28" w:rsidRDefault="00437D28" w:rsidP="00F51B11">
      <w:pPr>
        <w:pStyle w:val="Hesber"/>
        <w:spacing w:line="240" w:lineRule="auto"/>
        <w:rPr>
          <w:rtl/>
        </w:rPr>
      </w:pPr>
      <w:r w:rsidRPr="002C79A5">
        <w:rPr>
          <w:rtl/>
        </w:rPr>
        <w:t>תקנות דמי מחלה (</w:t>
      </w:r>
      <w:r w:rsidRPr="002C79A5">
        <w:rPr>
          <w:rFonts w:hint="cs"/>
          <w:rtl/>
        </w:rPr>
        <w:t>כללים בדבר היעדרות עובד</w:t>
      </w:r>
      <w:r>
        <w:rPr>
          <w:rtl/>
        </w:rPr>
        <w:t xml:space="preserve"> עקב</w:t>
      </w:r>
      <w:r w:rsidRPr="002C79A5">
        <w:rPr>
          <w:rtl/>
        </w:rPr>
        <w:t xml:space="preserve"> הריון ולידה של בת זוג)</w:t>
      </w:r>
      <w:r w:rsidRPr="002C79A5">
        <w:rPr>
          <w:rFonts w:hint="cs"/>
          <w:rtl/>
        </w:rPr>
        <w:t>, התשס"א–2000</w:t>
      </w:r>
      <w:r>
        <w:rPr>
          <w:rFonts w:hint="cs"/>
          <w:rtl/>
        </w:rPr>
        <w:t>,</w:t>
      </w:r>
      <w:r w:rsidRPr="002C79A5">
        <w:rPr>
          <w:rtl/>
        </w:rPr>
        <w:t xml:space="preserve"> צמצמו את האפשרויות שעומדות בפני האב </w:t>
      </w:r>
      <w:r w:rsidR="00F51B11">
        <w:rPr>
          <w:rFonts w:hint="cs"/>
          <w:rtl/>
        </w:rPr>
        <w:t>להיעדר מעבודתו</w:t>
      </w:r>
      <w:r w:rsidRPr="002C79A5">
        <w:rPr>
          <w:rFonts w:hint="cs"/>
          <w:rtl/>
        </w:rPr>
        <w:t xml:space="preserve"> על חשבון</w:t>
      </w:r>
      <w:r w:rsidRPr="002C79A5">
        <w:rPr>
          <w:rtl/>
        </w:rPr>
        <w:t xml:space="preserve"> ימי מחלה על מנת </w:t>
      </w:r>
      <w:r>
        <w:rPr>
          <w:rtl/>
        </w:rPr>
        <w:t>להתלוות לבת זוגו לבדיקות היריון</w:t>
      </w:r>
      <w:r>
        <w:rPr>
          <w:rFonts w:hint="cs"/>
          <w:rtl/>
        </w:rPr>
        <w:t>.</w:t>
      </w:r>
      <w:r w:rsidRPr="002C79A5">
        <w:rPr>
          <w:rtl/>
        </w:rPr>
        <w:t xml:space="preserve"> </w:t>
      </w:r>
      <w:r w:rsidR="00F51B11">
        <w:rPr>
          <w:rFonts w:hint="cs"/>
          <w:rtl/>
        </w:rPr>
        <w:t>ב</w:t>
      </w:r>
      <w:r w:rsidRPr="002C79A5">
        <w:rPr>
          <w:rtl/>
        </w:rPr>
        <w:t xml:space="preserve">הצעה זו </w:t>
      </w:r>
      <w:r w:rsidR="00F51B11">
        <w:rPr>
          <w:rFonts w:hint="cs"/>
          <w:rtl/>
        </w:rPr>
        <w:t xml:space="preserve">מוצע </w:t>
      </w:r>
      <w:r w:rsidRPr="002C79A5">
        <w:rPr>
          <w:rtl/>
        </w:rPr>
        <w:t xml:space="preserve">לתת את שיקול הדעת בידי האב </w:t>
      </w:r>
      <w:r w:rsidRPr="002C79A5">
        <w:rPr>
          <w:rFonts w:hint="cs"/>
          <w:rtl/>
        </w:rPr>
        <w:t>בשאלה</w:t>
      </w:r>
      <w:r w:rsidRPr="002C79A5">
        <w:rPr>
          <w:rtl/>
        </w:rPr>
        <w:t xml:space="preserve"> לאילו בדיקות להצטרף ובכך</w:t>
      </w:r>
      <w:r w:rsidRPr="002C79A5">
        <w:rPr>
          <w:rFonts w:hint="cs"/>
          <w:rtl/>
        </w:rPr>
        <w:t xml:space="preserve"> להפכו לחלק מתהליך ההיריו</w:t>
      </w:r>
      <w:r w:rsidRPr="002C79A5">
        <w:rPr>
          <w:rFonts w:hint="eastAsia"/>
          <w:rtl/>
        </w:rPr>
        <w:t>ן</w:t>
      </w:r>
      <w:r w:rsidRPr="002C79A5">
        <w:rPr>
          <w:rFonts w:hint="cs"/>
          <w:rtl/>
        </w:rPr>
        <w:t xml:space="preserve">. </w:t>
      </w:r>
    </w:p>
    <w:p w14:paraId="3FC5A7E8" w14:textId="4E8935AB" w:rsidR="00437D28" w:rsidRPr="002C79A5" w:rsidRDefault="00437D28" w:rsidP="00F51B11">
      <w:pPr>
        <w:pStyle w:val="Hesber"/>
        <w:spacing w:line="240" w:lineRule="auto"/>
        <w:rPr>
          <w:rtl/>
        </w:rPr>
      </w:pPr>
      <w:r w:rsidRPr="002C79A5">
        <w:rPr>
          <w:rtl/>
        </w:rPr>
        <w:t xml:space="preserve"> מחקרים רבים </w:t>
      </w:r>
      <w:r w:rsidR="00F51B11">
        <w:rPr>
          <w:rFonts w:hint="cs"/>
          <w:rtl/>
        </w:rPr>
        <w:t>הנוגעים</w:t>
      </w:r>
      <w:r w:rsidRPr="002C79A5">
        <w:rPr>
          <w:rtl/>
        </w:rPr>
        <w:t xml:space="preserve"> </w:t>
      </w:r>
      <w:r w:rsidR="00F51B11">
        <w:rPr>
          <w:rFonts w:hint="cs"/>
          <w:rtl/>
        </w:rPr>
        <w:t>ב</w:t>
      </w:r>
      <w:r w:rsidR="00F51B11">
        <w:rPr>
          <w:rtl/>
        </w:rPr>
        <w:t xml:space="preserve">מעורבותם של אבות בטיפול בילדים </w:t>
      </w:r>
      <w:r w:rsidRPr="002C79A5">
        <w:rPr>
          <w:rtl/>
        </w:rPr>
        <w:t>מצאו קשר ברור בין מעורבות בגידול ובחינוך הילד ללקיחת חופשת אבהות. ישראל אינה מזכה כיום גברים בחופשת אבהות, למרות שישראל היא המדינה עם שיעור הילודה הגבוה ביותר בעולם המערבי, מה שהופך כל יום חופש ליקר ער</w:t>
      </w:r>
      <w:r w:rsidR="00F51B11">
        <w:rPr>
          <w:rtl/>
        </w:rPr>
        <w:t>ך למשפחות. בכל העולם המערבי יש</w:t>
      </w:r>
      <w:r w:rsidRPr="002C79A5">
        <w:rPr>
          <w:rtl/>
        </w:rPr>
        <w:t xml:space="preserve"> התקדמות לעבר מודל של הורות שוויונית והצעת חוק זו באה לעגן בחקיקה זמן משותף של זוג הורים בעת הולדת התינוק או התינוקת.</w:t>
      </w:r>
    </w:p>
    <w:p w14:paraId="25A8CC49" w14:textId="00DCBC9D" w:rsidR="00437D28" w:rsidRDefault="00437D28" w:rsidP="00F51B11">
      <w:pPr>
        <w:pStyle w:val="Hesber"/>
        <w:spacing w:line="240" w:lineRule="auto"/>
        <w:rPr>
          <w:rtl/>
        </w:rPr>
      </w:pPr>
      <w:r w:rsidRPr="002C79A5">
        <w:rPr>
          <w:rFonts w:hint="cs"/>
          <w:rtl/>
        </w:rPr>
        <w:t>הצע</w:t>
      </w:r>
      <w:r w:rsidR="00C91F6D">
        <w:rPr>
          <w:rFonts w:hint="cs"/>
          <w:rtl/>
        </w:rPr>
        <w:t>ו</w:t>
      </w:r>
      <w:r w:rsidRPr="002C79A5">
        <w:rPr>
          <w:rFonts w:hint="cs"/>
          <w:rtl/>
        </w:rPr>
        <w:t>ת חוק זה</w:t>
      </w:r>
      <w:r w:rsidR="00C91F6D">
        <w:rPr>
          <w:rFonts w:hint="cs"/>
          <w:rtl/>
        </w:rPr>
        <w:t>ות</w:t>
      </w:r>
      <w:r w:rsidRPr="002C79A5">
        <w:rPr>
          <w:rFonts w:hint="cs"/>
          <w:rtl/>
        </w:rPr>
        <w:t xml:space="preserve"> הונח</w:t>
      </w:r>
      <w:r w:rsidR="00C91F6D">
        <w:rPr>
          <w:rFonts w:hint="cs"/>
          <w:rtl/>
        </w:rPr>
        <w:t>ו</w:t>
      </w:r>
      <w:r w:rsidRPr="002C79A5">
        <w:rPr>
          <w:rFonts w:hint="cs"/>
          <w:rtl/>
        </w:rPr>
        <w:t xml:space="preserve"> על שולחן הכנסת התשע-עשרה</w:t>
      </w:r>
      <w:r>
        <w:rPr>
          <w:rFonts w:hint="cs"/>
          <w:rtl/>
        </w:rPr>
        <w:t xml:space="preserve"> על </w:t>
      </w:r>
      <w:r w:rsidRPr="002C79A5">
        <w:rPr>
          <w:rFonts w:hint="cs"/>
          <w:rtl/>
        </w:rPr>
        <w:t>ידי חברת הכנסת תמר זנדברג וקבוצת חברי הכנסת (</w:t>
      </w:r>
      <w:bookmarkStart w:id="7" w:name="LawNum"/>
      <w:r w:rsidRPr="002C79A5">
        <w:rPr>
          <w:rFonts w:hint="cs"/>
          <w:rtl/>
        </w:rPr>
        <w:t>פ</w:t>
      </w:r>
      <w:r w:rsidRPr="002C79A5">
        <w:rPr>
          <w:rtl/>
        </w:rPr>
        <w:t>/1592/19</w:t>
      </w:r>
      <w:bookmarkEnd w:id="7"/>
      <w:r w:rsidRPr="002C79A5">
        <w:rPr>
          <w:rFonts w:hint="cs"/>
          <w:rtl/>
        </w:rPr>
        <w:t>)</w:t>
      </w:r>
      <w:r w:rsidR="00C91F6D">
        <w:rPr>
          <w:rFonts w:hint="cs"/>
          <w:rtl/>
        </w:rPr>
        <w:t xml:space="preserve"> ועל ידי חבר הכנסת דב חנין וקבוצת חברי הכנסת (פ/1690/19), ועל שולחן הכנסת העשרים על ידי חברי הכנסת תמר זנדברג ואילן גילאון (פ/19/20)</w:t>
      </w:r>
      <w:r w:rsidRPr="002C79A5">
        <w:rPr>
          <w:rFonts w:hint="cs"/>
          <w:rtl/>
        </w:rPr>
        <w:t xml:space="preserve">. </w:t>
      </w:r>
    </w:p>
    <w:p w14:paraId="0A121F49" w14:textId="77777777" w:rsidR="00F51B11" w:rsidRDefault="00F51B11" w:rsidP="00F51B11">
      <w:pPr>
        <w:spacing w:before="0" w:line="240" w:lineRule="auto"/>
        <w:ind w:left="340" w:firstLine="0"/>
        <w:rPr>
          <w:rFonts w:ascii="Arial" w:eastAsia="Arial Unicode MS" w:hAnsi="Arial" w:cs="David"/>
          <w:snapToGrid w:val="0"/>
          <w:spacing w:val="0"/>
          <w:sz w:val="20"/>
          <w:szCs w:val="26"/>
          <w:rtl/>
        </w:rPr>
      </w:pPr>
    </w:p>
    <w:p w14:paraId="4CE03395" w14:textId="7446EB7D" w:rsidR="00F51B11" w:rsidRDefault="00F51B11" w:rsidP="00F51B11">
      <w:pPr>
        <w:spacing w:before="0" w:line="240" w:lineRule="auto"/>
        <w:ind w:left="340" w:firstLine="0"/>
        <w:rPr>
          <w:rFonts w:ascii="Arial" w:eastAsia="Arial Unicode MS" w:hAnsi="Arial" w:cs="David"/>
          <w:snapToGrid w:val="0"/>
          <w:spacing w:val="0"/>
          <w:sz w:val="20"/>
          <w:szCs w:val="26"/>
        </w:rPr>
      </w:pPr>
      <w:bookmarkStart w:id="8" w:name="_GoBack"/>
      <w:bookmarkEnd w:id="8"/>
      <w:r>
        <w:rPr>
          <w:rFonts w:ascii="Arial" w:eastAsia="Arial Unicode MS" w:hAnsi="Arial" w:cs="David" w:hint="cs"/>
          <w:snapToGrid w:val="0"/>
          <w:spacing w:val="0"/>
          <w:sz w:val="20"/>
          <w:szCs w:val="26"/>
          <w:rtl/>
        </w:rPr>
        <w:t>---------------------------------</w:t>
      </w:r>
    </w:p>
    <w:p w14:paraId="5027C441" w14:textId="77777777" w:rsidR="00F51B11" w:rsidRDefault="00F51B11" w:rsidP="00F51B11">
      <w:pPr>
        <w:spacing w:before="0" w:line="240" w:lineRule="auto"/>
        <w:ind w:left="340" w:firstLine="0"/>
        <w:rPr>
          <w:rFonts w:ascii="Arial" w:eastAsia="Arial Unicode MS" w:hAnsi="Arial" w:cs="David" w:hint="cs"/>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14:paraId="20A0C563" w14:textId="77777777" w:rsidR="00F51B11" w:rsidRDefault="00F51B11" w:rsidP="00F51B11">
      <w:pPr>
        <w:spacing w:before="0" w:line="240" w:lineRule="auto"/>
        <w:ind w:left="340" w:firstLine="0"/>
        <w:rPr>
          <w:rFonts w:ascii="Arial" w:eastAsia="Arial Unicode MS" w:hAnsi="Arial" w:cs="David" w:hint="cs"/>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14:paraId="7F6961CB" w14:textId="7F4F74B9" w:rsidR="00E13C27" w:rsidRDefault="00F51B11" w:rsidP="00F51B11">
      <w:pPr>
        <w:spacing w:before="0" w:line="240" w:lineRule="auto"/>
        <w:ind w:left="340" w:firstLine="0"/>
        <w:rPr>
          <w:rtl/>
        </w:rPr>
      </w:pPr>
      <w:r>
        <w:rPr>
          <w:rFonts w:ascii="Arial" w:eastAsia="Arial Unicode MS" w:hAnsi="Arial" w:cs="David" w:hint="cs"/>
          <w:snapToGrid w:val="0"/>
          <w:spacing w:val="0"/>
          <w:sz w:val="20"/>
          <w:szCs w:val="26"/>
          <w:rtl/>
        </w:rPr>
        <w:t>י"א בכסלו התשע"ו – 23.11.15</w:t>
      </w: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51B11">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7B1E5FC" w14:textId="77777777" w:rsidR="00437D28" w:rsidRDefault="00437D28" w:rsidP="00437D28">
      <w:pPr>
        <w:pStyle w:val="a4"/>
      </w:pPr>
      <w:r w:rsidRPr="00600829">
        <w:rPr>
          <w:rStyle w:val="a6"/>
        </w:rPr>
        <w:footnoteRef/>
      </w:r>
      <w:r w:rsidRPr="00600829">
        <w:rPr>
          <w:rtl/>
        </w:rPr>
        <w:t xml:space="preserve"> ס"ח התשי"ד, עמ'</w:t>
      </w:r>
      <w:r w:rsidRPr="00600829">
        <w:rPr>
          <w:rFonts w:asciiTheme="minorHAnsi" w:hAnsiTheme="minorHAnsi"/>
          <w:sz w:val="20"/>
          <w:rtl/>
        </w:rPr>
        <w:t xml:space="preserve"> 154.</w:t>
      </w:r>
    </w:p>
  </w:footnote>
  <w:footnote w:id="3">
    <w:p w14:paraId="5ED0C9BD" w14:textId="77777777" w:rsidR="00437D28" w:rsidRDefault="00437D28" w:rsidP="00437D28">
      <w:pPr>
        <w:pStyle w:val="a4"/>
      </w:pPr>
      <w:r>
        <w:rPr>
          <w:rStyle w:val="a6"/>
        </w:rPr>
        <w:footnoteRef/>
      </w:r>
      <w:r>
        <w:rPr>
          <w:rtl/>
        </w:rPr>
        <w:t xml:space="preserve"> ס"ח התש"ס, עמ' 222.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355C1"/>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37D28"/>
    <w:rsid w:val="004A06DC"/>
    <w:rsid w:val="004B24ED"/>
    <w:rsid w:val="004B6625"/>
    <w:rsid w:val="004D2D82"/>
    <w:rsid w:val="004D3876"/>
    <w:rsid w:val="004E4552"/>
    <w:rsid w:val="004E6CDF"/>
    <w:rsid w:val="00523B68"/>
    <w:rsid w:val="00553C9D"/>
    <w:rsid w:val="00562A66"/>
    <w:rsid w:val="005B064E"/>
    <w:rsid w:val="005D51AE"/>
    <w:rsid w:val="0062674B"/>
    <w:rsid w:val="006363B2"/>
    <w:rsid w:val="00644940"/>
    <w:rsid w:val="006818A9"/>
    <w:rsid w:val="006A2D81"/>
    <w:rsid w:val="006C18B3"/>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91F6D"/>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51B11"/>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16E4CF91-565F-490A-A445-66427D6E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437D28"/>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199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8FDAEDBD-15E8-43D6-8346-0031394B6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438AFA-C894-4541-8ACD-F8D6613C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481</Words>
  <Characters>2410</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2015-11-18T12:10:00Z</cp:lastPrinted>
  <dcterms:created xsi:type="dcterms:W3CDTF">2015-04-20T09:58:00Z</dcterms:created>
  <dcterms:modified xsi:type="dcterms:W3CDTF">2015-11-18T12:11:00Z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564679</vt:r8>
  </property>
</Properties>
</file>