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FCA0D" w14:textId="46939E07" w:rsidR="005C3CCF" w:rsidRPr="005C3CCF" w:rsidRDefault="004033D8" w:rsidP="005C3CCF">
      <w:pPr>
        <w:pStyle w:val="HeadHatzaotHok"/>
        <w:jc w:val="right"/>
        <w:rPr>
          <w:b w:val="0"/>
          <w:bCs w:val="0"/>
          <w:szCs w:val="20"/>
          <w:rtl/>
        </w:rPr>
      </w:pPr>
      <w:r w:rsidRPr="0000131B">
        <w:rPr>
          <w:rFonts w:hint="cs"/>
          <w:b w:val="0"/>
          <w:bCs w:val="0"/>
          <w:szCs w:val="20"/>
          <w:rtl/>
        </w:rPr>
        <w:t xml:space="preserve">מספר פנימי: </w:t>
      </w:r>
      <w:bookmarkStart w:id="0" w:name="LGS_Internal_ID"/>
      <w:r>
        <w:rPr>
          <w:rFonts w:hint="cs"/>
          <w:b w:val="0"/>
          <w:bCs w:val="0"/>
          <w:szCs w:val="20"/>
          <w:rtl/>
        </w:rPr>
        <w:t>568456</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רחל עזריה</w:t>
      </w:r>
      <w:r>
        <w:br/>
      </w:r>
      <w:r>
        <w:rPr>
          <w:rFonts w:hint="cs"/>
          <w:b/>
          <w:bCs/>
          <w:rtl/>
        </w:rPr>
        <w:t xml:space="preserve"> </w:t>
      </w:r>
      <w:r>
        <w:tab/>
      </w:r>
      <w:r>
        <w:tab/>
      </w:r>
      <w:r>
        <w:tab/>
      </w:r>
      <w:r>
        <w:tab/>
      </w:r>
      <w:r>
        <w:rPr>
          <w:rFonts w:hint="cs"/>
          <w:b/>
          <w:bCs/>
          <w:rtl/>
        </w:rPr>
        <w:t>נאוה בוקר</w:t>
      </w:r>
      <w:r>
        <w:br/>
      </w:r>
      <w:r>
        <w:rPr>
          <w:rFonts w:hint="cs"/>
          <w:b/>
          <w:bCs/>
          <w:rtl/>
        </w:rPr>
        <w:t xml:space="preserve"> </w:t>
      </w:r>
      <w:r>
        <w:tab/>
      </w:r>
      <w:r>
        <w:tab/>
      </w:r>
      <w:r>
        <w:tab/>
      </w:r>
      <w:r>
        <w:tab/>
      </w:r>
      <w:r>
        <w:rPr>
          <w:rFonts w:hint="cs"/>
          <w:b/>
          <w:bCs/>
          <w:rtl/>
        </w:rPr>
        <w:t>יפעת שאשא ביטון</w:t>
      </w:r>
      <w:r>
        <w:br/>
      </w:r>
      <w:r>
        <w:rPr>
          <w:rFonts w:hint="cs"/>
          <w:b/>
          <w:bCs/>
          <w:rtl/>
        </w:rPr>
        <w:t xml:space="preserve"> </w:t>
      </w:r>
      <w:r>
        <w:tab/>
      </w:r>
      <w:r>
        <w:tab/>
      </w:r>
      <w:r>
        <w:tab/>
      </w:r>
      <w:r>
        <w:tab/>
      </w:r>
      <w:r>
        <w:rPr>
          <w:rFonts w:hint="cs"/>
          <w:b/>
          <w:bCs/>
          <w:rtl/>
        </w:rPr>
        <w:t>טלי פלוסקוב</w:t>
      </w:r>
      <w:r>
        <w:br/>
      </w:r>
      <w:r>
        <w:rPr>
          <w:rFonts w:hint="cs"/>
          <w:b/>
          <w:bCs/>
          <w:rtl/>
        </w:rPr>
        <w:t xml:space="preserve"> </w:t>
      </w:r>
      <w:r>
        <w:tab/>
      </w:r>
      <w:r>
        <w:tab/>
      </w:r>
      <w:r>
        <w:tab/>
      </w:r>
      <w:r>
        <w:tab/>
      </w:r>
      <w:r>
        <w:rPr>
          <w:rFonts w:hint="cs"/>
          <w:b/>
          <w:bCs/>
          <w:rtl/>
        </w:rPr>
        <w:t>איילת נחמיאס ורבין</w:t>
      </w:r>
      <w:r>
        <w:br/>
      </w:r>
      <w:r>
        <w:rPr>
          <w:rFonts w:hint="cs"/>
          <w:b/>
          <w:bCs/>
          <w:rtl/>
        </w:rPr>
        <w:t xml:space="preserve"> </w:t>
      </w:r>
      <w:r>
        <w:tab/>
      </w:r>
      <w:r>
        <w:tab/>
      </w:r>
      <w:r>
        <w:tab/>
      </w:r>
      <w:r>
        <w:tab/>
      </w:r>
      <w:r>
        <w:rPr>
          <w:rFonts w:hint="cs"/>
          <w:b/>
          <w:bCs/>
          <w:rtl/>
        </w:rPr>
        <w:t>אורי מקלב</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5BD24B6"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CF4499">
        <w:t xml:space="preserve">          </w:t>
      </w:r>
      <w:r w:rsidR="00CF4499">
        <w:rPr>
          <w:rFonts w:hint="cs"/>
          <w:rtl/>
        </w:rPr>
        <w:t>פ/2041/20</w:t>
      </w:r>
    </w:p>
    <w:p w14:paraId="2663A1A9" w14:textId="0D8FE2A5" w:rsidR="005C3CCF" w:rsidRPr="00576492" w:rsidRDefault="00904591" w:rsidP="00576492">
      <w:pPr>
        <w:pStyle w:val="David"/>
        <w:spacing w:before="0" w:line="240" w:lineRule="auto"/>
        <w:ind w:left="3544"/>
        <w:rPr>
          <w:rtl/>
        </w:rPr>
      </w:pPr>
      <w:r>
        <w:t xml:space="preserve">            </w:t>
      </w:r>
      <w:r w:rsidR="005C3CCF">
        <w:t xml:space="preserve">                               </w:t>
      </w:r>
    </w:p>
    <w:p w14:paraId="7F6961AD" w14:textId="3178A5E6" w:rsidR="00E13C27" w:rsidRDefault="00E13C27" w:rsidP="0010446E">
      <w:pPr>
        <w:pStyle w:val="HeadHatzaotHok"/>
        <w:rPr>
          <w:rtl/>
        </w:rPr>
      </w:pPr>
      <w:bookmarkStart w:id="6" w:name="LGS_Subject"/>
      <w:r>
        <w:rPr>
          <w:rFonts w:hint="cs"/>
          <w:rtl/>
        </w:rPr>
        <w:t>הצעת חוק זכויות הוריות (תיקוני חקיקה), התשע"ו</w:t>
      </w:r>
      <w:r w:rsidR="0010446E">
        <w:rPr>
          <w:rFonts w:hint="eastAsia"/>
          <w:rtl/>
        </w:rPr>
        <w:t>–</w:t>
      </w:r>
      <w:r>
        <w:rPr>
          <w:rFonts w:hint="cs"/>
          <w:rtl/>
        </w:rPr>
        <w:t>2015</w:t>
      </w:r>
      <w:bookmarkEnd w:id="6"/>
    </w:p>
    <w:tbl>
      <w:tblPr>
        <w:bidiVisual/>
        <w:tblW w:w="9647" w:type="dxa"/>
        <w:tblInd w:w="-8" w:type="dxa"/>
        <w:tblLayout w:type="fixed"/>
        <w:tblCellMar>
          <w:top w:w="57" w:type="dxa"/>
          <w:left w:w="0" w:type="dxa"/>
          <w:bottom w:w="57" w:type="dxa"/>
          <w:right w:w="0" w:type="dxa"/>
        </w:tblCellMar>
        <w:tblLook w:val="01E0" w:firstRow="1" w:lastRow="1" w:firstColumn="1" w:lastColumn="1" w:noHBand="0" w:noVBand="0"/>
      </w:tblPr>
      <w:tblGrid>
        <w:gridCol w:w="1873"/>
        <w:gridCol w:w="624"/>
        <w:gridCol w:w="1873"/>
        <w:gridCol w:w="624"/>
        <w:gridCol w:w="4644"/>
        <w:gridCol w:w="9"/>
      </w:tblGrid>
      <w:tr w:rsidR="000737A0" w14:paraId="579AC21C" w14:textId="77777777" w:rsidTr="0044618E">
        <w:trPr>
          <w:cantSplit/>
          <w:trHeight w:val="60"/>
        </w:trPr>
        <w:tc>
          <w:tcPr>
            <w:tcW w:w="1873" w:type="dxa"/>
          </w:tcPr>
          <w:p w14:paraId="5AFC3124" w14:textId="75CBE40E" w:rsidR="000737A0" w:rsidRDefault="000737A0" w:rsidP="0062682D">
            <w:pPr>
              <w:pStyle w:val="TableSideHeading"/>
              <w:keepLines w:val="0"/>
              <w:rPr>
                <w:rtl/>
              </w:rPr>
            </w:pPr>
            <w:r>
              <w:rPr>
                <w:rFonts w:hint="cs"/>
                <w:rtl/>
              </w:rPr>
              <w:t>תיקון חוק עבודת נשים</w:t>
            </w:r>
          </w:p>
        </w:tc>
        <w:tc>
          <w:tcPr>
            <w:tcW w:w="624" w:type="dxa"/>
          </w:tcPr>
          <w:p w14:paraId="17F617C2" w14:textId="77777777" w:rsidR="000737A0" w:rsidRDefault="000737A0" w:rsidP="0062682D">
            <w:pPr>
              <w:pStyle w:val="TableBlock"/>
            </w:pPr>
            <w:r>
              <w:rPr>
                <w:rFonts w:hint="cs"/>
                <w:rtl/>
              </w:rPr>
              <w:t>1.</w:t>
            </w:r>
          </w:p>
        </w:tc>
        <w:tc>
          <w:tcPr>
            <w:tcW w:w="7150" w:type="dxa"/>
            <w:gridSpan w:val="4"/>
          </w:tcPr>
          <w:p w14:paraId="56FA339C" w14:textId="63BD473B" w:rsidR="000737A0" w:rsidRPr="00C34DE2" w:rsidRDefault="000737A0" w:rsidP="0044618E">
            <w:pPr>
              <w:pStyle w:val="TableBlock"/>
            </w:pPr>
            <w:r w:rsidRPr="00293D12">
              <w:rPr>
                <w:rFonts w:hint="cs"/>
                <w:rtl/>
              </w:rPr>
              <w:t>בחוק עבודת נשים, התשי"ד</w:t>
            </w:r>
            <w:r w:rsidRPr="00293D12">
              <w:rPr>
                <w:rFonts w:hint="eastAsia"/>
                <w:rtl/>
              </w:rPr>
              <w:t>–</w:t>
            </w:r>
            <w:r w:rsidRPr="00293D12">
              <w:rPr>
                <w:rFonts w:hint="cs"/>
                <w:rtl/>
              </w:rPr>
              <w:t>1954</w:t>
            </w:r>
            <w:r>
              <w:rPr>
                <w:rStyle w:val="a6"/>
                <w:rtl/>
              </w:rPr>
              <w:footnoteReference w:id="2"/>
            </w:r>
            <w:r w:rsidR="0044618E">
              <w:rPr>
                <w:rFonts w:hint="cs"/>
                <w:rtl/>
              </w:rPr>
              <w:t xml:space="preserve"> </w:t>
            </w:r>
            <w:r w:rsidR="0044618E">
              <w:rPr>
                <w:rFonts w:hint="eastAsia"/>
                <w:rtl/>
              </w:rPr>
              <w:t>–</w:t>
            </w:r>
            <w:r w:rsidR="00E17035">
              <w:rPr>
                <w:rFonts w:hint="cs"/>
                <w:rtl/>
              </w:rPr>
              <w:t xml:space="preserve"> </w:t>
            </w:r>
            <w:r>
              <w:rPr>
                <w:rFonts w:hint="cs"/>
                <w:rtl/>
              </w:rPr>
              <w:t xml:space="preserve"> </w:t>
            </w:r>
          </w:p>
        </w:tc>
      </w:tr>
      <w:tr w:rsidR="0044618E" w14:paraId="2AF96689" w14:textId="77777777" w:rsidTr="0044618E">
        <w:trPr>
          <w:gridAfter w:val="1"/>
          <w:wAfter w:w="9" w:type="dxa"/>
          <w:cantSplit/>
          <w:trHeight w:val="60"/>
        </w:trPr>
        <w:tc>
          <w:tcPr>
            <w:tcW w:w="1873" w:type="dxa"/>
          </w:tcPr>
          <w:p w14:paraId="67158F3A" w14:textId="77777777" w:rsidR="0044618E" w:rsidRDefault="0044618E" w:rsidP="0044618E">
            <w:pPr>
              <w:pStyle w:val="TableSideHeading"/>
              <w:ind w:right="0"/>
            </w:pPr>
          </w:p>
        </w:tc>
        <w:tc>
          <w:tcPr>
            <w:tcW w:w="624" w:type="dxa"/>
          </w:tcPr>
          <w:p w14:paraId="412482DB" w14:textId="77777777" w:rsidR="0044618E" w:rsidRDefault="0044618E" w:rsidP="0044618E">
            <w:pPr>
              <w:pStyle w:val="TableText"/>
              <w:ind w:right="0"/>
              <w:jc w:val="both"/>
            </w:pPr>
          </w:p>
        </w:tc>
        <w:tc>
          <w:tcPr>
            <w:tcW w:w="7141" w:type="dxa"/>
            <w:gridSpan w:val="3"/>
          </w:tcPr>
          <w:p w14:paraId="586EBA99" w14:textId="32A14E88" w:rsidR="0044618E" w:rsidRPr="00F4103C" w:rsidRDefault="0044618E" w:rsidP="0044618E">
            <w:pPr>
              <w:pStyle w:val="TableBlock"/>
            </w:pPr>
            <w:r w:rsidRPr="00F4103C">
              <w:rPr>
                <w:rFonts w:hint="cs"/>
                <w:rtl/>
              </w:rPr>
              <w:t>(</w:t>
            </w:r>
            <w:r>
              <w:rPr>
                <w:rFonts w:hint="cs"/>
                <w:rtl/>
              </w:rPr>
              <w:t>1</w:t>
            </w:r>
            <w:r w:rsidRPr="00F4103C">
              <w:rPr>
                <w:rFonts w:hint="cs"/>
                <w:rtl/>
              </w:rPr>
              <w:t xml:space="preserve">) </w:t>
            </w:r>
            <w:r>
              <w:rPr>
                <w:rtl/>
              </w:rPr>
              <w:tab/>
            </w:r>
            <w:r w:rsidRPr="00F4103C">
              <w:rPr>
                <w:rtl/>
              </w:rPr>
              <w:t>בכל מקום, במקום "חופשת לידה"</w:t>
            </w:r>
            <w:r>
              <w:rPr>
                <w:rFonts w:hint="cs"/>
                <w:rtl/>
              </w:rPr>
              <w:t xml:space="preserve"> יבוא "תקופת לידה והורות";</w:t>
            </w:r>
          </w:p>
        </w:tc>
      </w:tr>
      <w:tr w:rsidR="008B21EA" w14:paraId="1C0E2BB6" w14:textId="77777777" w:rsidTr="0044618E">
        <w:trPr>
          <w:gridAfter w:val="1"/>
          <w:wAfter w:w="9" w:type="dxa"/>
          <w:cantSplit/>
          <w:trHeight w:val="60"/>
        </w:trPr>
        <w:tc>
          <w:tcPr>
            <w:tcW w:w="1873" w:type="dxa"/>
          </w:tcPr>
          <w:p w14:paraId="7A961723" w14:textId="77777777" w:rsidR="008B21EA" w:rsidRDefault="008B21EA" w:rsidP="0044618E">
            <w:pPr>
              <w:pStyle w:val="TableSideHeading"/>
              <w:ind w:right="0"/>
            </w:pPr>
          </w:p>
        </w:tc>
        <w:tc>
          <w:tcPr>
            <w:tcW w:w="624" w:type="dxa"/>
          </w:tcPr>
          <w:p w14:paraId="6B02A082" w14:textId="77777777" w:rsidR="008B21EA" w:rsidRDefault="008B21EA" w:rsidP="008B21EA">
            <w:pPr>
              <w:pStyle w:val="TableText"/>
            </w:pPr>
          </w:p>
        </w:tc>
        <w:tc>
          <w:tcPr>
            <w:tcW w:w="7141" w:type="dxa"/>
            <w:gridSpan w:val="3"/>
          </w:tcPr>
          <w:p w14:paraId="5ED492BC" w14:textId="0DCCD088" w:rsidR="008B21EA" w:rsidRPr="00F4103C" w:rsidRDefault="008B21EA" w:rsidP="0044618E">
            <w:pPr>
              <w:pStyle w:val="TableBlock"/>
              <w:rPr>
                <w:rtl/>
              </w:rPr>
            </w:pPr>
            <w:r>
              <w:rPr>
                <w:rFonts w:hint="cs"/>
                <w:rtl/>
              </w:rPr>
              <w:t xml:space="preserve">(2) </w:t>
            </w:r>
            <w:r>
              <w:rPr>
                <w:rtl/>
              </w:rPr>
              <w:tab/>
            </w:r>
            <w:r>
              <w:rPr>
                <w:rFonts w:hint="cs"/>
                <w:rtl/>
              </w:rPr>
              <w:t xml:space="preserve">בסעיף 7(ג)(3), אחרי "שעה אחת ביום" יבוא "שתיקרא שעת הורות,", ובסופו יבוא "לעניין סעיף זה, עובד יהיה רשאי להיעדר במשך שעת ההורות לסירוגין עם בת זוגו, כל עוד נתנה בת הזוג את הסכמתה לכך".  </w:t>
            </w:r>
          </w:p>
        </w:tc>
      </w:tr>
      <w:tr w:rsidR="008B21EA" w14:paraId="39D56C3B" w14:textId="77777777" w:rsidTr="0044618E">
        <w:trPr>
          <w:gridAfter w:val="1"/>
          <w:wAfter w:w="9" w:type="dxa"/>
          <w:cantSplit/>
          <w:trHeight w:val="60"/>
        </w:trPr>
        <w:tc>
          <w:tcPr>
            <w:tcW w:w="1873" w:type="dxa"/>
          </w:tcPr>
          <w:p w14:paraId="58AE3704" w14:textId="77777777" w:rsidR="008B21EA" w:rsidRDefault="008B21EA" w:rsidP="0044618E">
            <w:pPr>
              <w:pStyle w:val="TableSideHeading"/>
              <w:ind w:right="0"/>
              <w:rPr>
                <w:rtl/>
              </w:rPr>
            </w:pPr>
          </w:p>
        </w:tc>
        <w:tc>
          <w:tcPr>
            <w:tcW w:w="624" w:type="dxa"/>
          </w:tcPr>
          <w:p w14:paraId="2E818B71" w14:textId="77777777" w:rsidR="008B21EA" w:rsidRDefault="008B21EA" w:rsidP="008B21EA">
            <w:pPr>
              <w:pStyle w:val="TableText"/>
            </w:pPr>
          </w:p>
        </w:tc>
        <w:tc>
          <w:tcPr>
            <w:tcW w:w="7141" w:type="dxa"/>
            <w:gridSpan w:val="3"/>
          </w:tcPr>
          <w:p w14:paraId="3ACF329C" w14:textId="03445DA3" w:rsidR="008B21EA" w:rsidRDefault="008B21EA" w:rsidP="0044618E">
            <w:pPr>
              <w:pStyle w:val="TableBlock"/>
              <w:rPr>
                <w:rtl/>
              </w:rPr>
            </w:pPr>
            <w:r>
              <w:rPr>
                <w:rFonts w:hint="cs"/>
                <w:rtl/>
              </w:rPr>
              <w:t xml:space="preserve">(3) </w:t>
            </w:r>
            <w:r>
              <w:rPr>
                <w:rtl/>
              </w:rPr>
              <w:tab/>
            </w:r>
            <w:r>
              <w:rPr>
                <w:rFonts w:hint="cs"/>
                <w:rtl/>
              </w:rPr>
              <w:t>בסעיף 11(א), במקום "עובדת" יבוא "עובדת ועובד", ואחרי "פרטים אלה" יבוא "בשינויים המחויבים:".</w:t>
            </w:r>
          </w:p>
        </w:tc>
      </w:tr>
      <w:tr w:rsidR="0044618E" w14:paraId="752ECA9D" w14:textId="77777777" w:rsidTr="0044618E">
        <w:trPr>
          <w:gridAfter w:val="1"/>
          <w:wAfter w:w="9" w:type="dxa"/>
          <w:cantSplit/>
          <w:trHeight w:val="60"/>
        </w:trPr>
        <w:tc>
          <w:tcPr>
            <w:tcW w:w="1873" w:type="dxa"/>
          </w:tcPr>
          <w:p w14:paraId="3CDF5F46" w14:textId="77777777" w:rsidR="0044618E" w:rsidRDefault="0044618E" w:rsidP="0044618E">
            <w:pPr>
              <w:pStyle w:val="TableSideHeading"/>
              <w:ind w:right="0"/>
            </w:pPr>
          </w:p>
        </w:tc>
        <w:tc>
          <w:tcPr>
            <w:tcW w:w="624" w:type="dxa"/>
          </w:tcPr>
          <w:p w14:paraId="6056E189" w14:textId="77777777" w:rsidR="0044618E" w:rsidRDefault="0044618E" w:rsidP="0044618E">
            <w:pPr>
              <w:pStyle w:val="TableText"/>
              <w:ind w:right="0"/>
              <w:jc w:val="both"/>
            </w:pPr>
          </w:p>
        </w:tc>
        <w:tc>
          <w:tcPr>
            <w:tcW w:w="7141" w:type="dxa"/>
            <w:gridSpan w:val="3"/>
          </w:tcPr>
          <w:p w14:paraId="1453FD72" w14:textId="38D4767C" w:rsidR="0044618E" w:rsidRPr="00F4103C" w:rsidRDefault="0044618E" w:rsidP="008B21EA">
            <w:pPr>
              <w:pStyle w:val="TableBlock"/>
              <w:rPr>
                <w:rtl/>
              </w:rPr>
            </w:pPr>
            <w:r w:rsidRPr="00F4103C">
              <w:rPr>
                <w:rFonts w:hint="cs"/>
                <w:rtl/>
              </w:rPr>
              <w:t>(</w:t>
            </w:r>
            <w:r w:rsidR="008B21EA">
              <w:rPr>
                <w:rFonts w:hint="cs"/>
                <w:rtl/>
              </w:rPr>
              <w:t>4</w:t>
            </w:r>
            <w:r w:rsidRPr="00F4103C">
              <w:rPr>
                <w:rFonts w:hint="cs"/>
                <w:rtl/>
              </w:rPr>
              <w:t>)</w:t>
            </w:r>
            <w:r>
              <w:rPr>
                <w:rtl/>
              </w:rPr>
              <w:tab/>
            </w:r>
            <w:r w:rsidRPr="00F4103C">
              <w:rPr>
                <w:rtl/>
              </w:rPr>
              <w:t xml:space="preserve"> </w:t>
            </w:r>
            <w:r>
              <w:rPr>
                <w:rFonts w:hint="cs"/>
                <w:rtl/>
              </w:rPr>
              <w:t>אחרי סעיף 22א יבוא:</w:t>
            </w:r>
          </w:p>
        </w:tc>
      </w:tr>
      <w:tr w:rsidR="00F91582" w14:paraId="71308AD2" w14:textId="77777777" w:rsidTr="00F91582">
        <w:trPr>
          <w:cantSplit/>
          <w:trHeight w:val="60"/>
        </w:trPr>
        <w:tc>
          <w:tcPr>
            <w:tcW w:w="1873" w:type="dxa"/>
          </w:tcPr>
          <w:p w14:paraId="2B60CA91" w14:textId="77777777" w:rsidR="00F91582" w:rsidRDefault="00F91582">
            <w:pPr>
              <w:pStyle w:val="TableSideHeading"/>
              <w:keepLines w:val="0"/>
            </w:pPr>
          </w:p>
        </w:tc>
        <w:tc>
          <w:tcPr>
            <w:tcW w:w="624" w:type="dxa"/>
          </w:tcPr>
          <w:p w14:paraId="3B47E0DC" w14:textId="77777777" w:rsidR="00F91582" w:rsidRDefault="00F91582">
            <w:pPr>
              <w:pStyle w:val="TableText"/>
              <w:keepLines w:val="0"/>
            </w:pPr>
          </w:p>
        </w:tc>
        <w:tc>
          <w:tcPr>
            <w:tcW w:w="1873" w:type="dxa"/>
          </w:tcPr>
          <w:p w14:paraId="4F8A3D00" w14:textId="48F2B956" w:rsidR="00F91582" w:rsidRDefault="00F91582">
            <w:pPr>
              <w:pStyle w:val="TableInnerSideHeading"/>
            </w:pPr>
            <w:r>
              <w:rPr>
                <w:rFonts w:hint="cs"/>
                <w:rtl/>
              </w:rPr>
              <w:t>"מתן הודעה</w:t>
            </w:r>
          </w:p>
        </w:tc>
        <w:tc>
          <w:tcPr>
            <w:tcW w:w="624" w:type="dxa"/>
          </w:tcPr>
          <w:p w14:paraId="0553041E" w14:textId="04B7CC78" w:rsidR="00F91582" w:rsidRDefault="00F91582">
            <w:pPr>
              <w:pStyle w:val="TableText"/>
            </w:pPr>
            <w:r>
              <w:rPr>
                <w:rFonts w:hint="cs"/>
                <w:rtl/>
              </w:rPr>
              <w:t>22ב.</w:t>
            </w:r>
          </w:p>
        </w:tc>
        <w:tc>
          <w:tcPr>
            <w:tcW w:w="4653" w:type="dxa"/>
            <w:gridSpan w:val="2"/>
          </w:tcPr>
          <w:p w14:paraId="5CD1A194" w14:textId="232DF6AE" w:rsidR="00F91582" w:rsidRDefault="00F91582">
            <w:pPr>
              <w:pStyle w:val="TableBlock"/>
            </w:pPr>
            <w:r w:rsidRPr="00F4103C">
              <w:rPr>
                <w:rtl/>
              </w:rPr>
              <w:t xml:space="preserve">המוסד </w:t>
            </w:r>
            <w:r>
              <w:rPr>
                <w:rFonts w:hint="cs"/>
                <w:rtl/>
              </w:rPr>
              <w:t xml:space="preserve">ימסור הודעה לענין זכויות מכוח סעיפים  </w:t>
            </w:r>
            <w:r w:rsidRPr="00F4103C">
              <w:rPr>
                <w:rtl/>
              </w:rPr>
              <w:t xml:space="preserve"> </w:t>
            </w:r>
            <w:r>
              <w:rPr>
                <w:rtl/>
              </w:rPr>
              <w:t xml:space="preserve">6(ב)(1), </w:t>
            </w:r>
            <w:r w:rsidRPr="00F4103C">
              <w:rPr>
                <w:rtl/>
              </w:rPr>
              <w:t>6(ז)(2), 6(ח)(1), 7(ג)</w:t>
            </w:r>
            <w:r>
              <w:rPr>
                <w:rFonts w:hint="cs"/>
                <w:rtl/>
              </w:rPr>
              <w:t>(3)</w:t>
            </w:r>
            <w:r w:rsidRPr="00F4103C">
              <w:rPr>
                <w:rtl/>
              </w:rPr>
              <w:t>, 7(ד)</w:t>
            </w:r>
            <w:r>
              <w:rPr>
                <w:rFonts w:hint="cs"/>
                <w:rtl/>
              </w:rPr>
              <w:t xml:space="preserve"> ו-</w:t>
            </w:r>
            <w:r w:rsidRPr="00F4103C">
              <w:rPr>
                <w:rtl/>
              </w:rPr>
              <w:t>7(ד1)</w:t>
            </w:r>
            <w:r>
              <w:rPr>
                <w:rFonts w:hint="cs"/>
                <w:rtl/>
              </w:rPr>
              <w:t>, ל</w:t>
            </w:r>
            <w:r>
              <w:rPr>
                <w:rtl/>
              </w:rPr>
              <w:t>שני ההו</w:t>
            </w:r>
            <w:r>
              <w:rPr>
                <w:rFonts w:hint="cs"/>
                <w:rtl/>
              </w:rPr>
              <w:t xml:space="preserve">רים, במכתב </w:t>
            </w:r>
            <w:r w:rsidRPr="00F4103C">
              <w:rPr>
                <w:rtl/>
              </w:rPr>
              <w:t>לכתובת</w:t>
            </w:r>
            <w:r>
              <w:rPr>
                <w:rFonts w:hint="cs"/>
                <w:rtl/>
              </w:rPr>
              <w:t xml:space="preserve"> מגוריהם; לעני</w:t>
            </w:r>
            <w:r w:rsidR="00576492">
              <w:rPr>
                <w:rFonts w:hint="cs"/>
                <w:rtl/>
              </w:rPr>
              <w:t>י</w:t>
            </w:r>
            <w:bookmarkStart w:id="7" w:name="_GoBack"/>
            <w:bookmarkEnd w:id="7"/>
            <w:r>
              <w:rPr>
                <w:rFonts w:hint="cs"/>
                <w:rtl/>
              </w:rPr>
              <w:t xml:space="preserve">ן סעיף זה "המוסד" </w:t>
            </w:r>
            <w:r>
              <w:rPr>
                <w:rtl/>
              </w:rPr>
              <w:t>–</w:t>
            </w:r>
            <w:r>
              <w:rPr>
                <w:rFonts w:hint="cs"/>
                <w:rtl/>
              </w:rPr>
              <w:t xml:space="preserve"> המוסד לביטוח לאומי כהגדרתו בחוק הביטוח הלאומי, התשנ"ה</w:t>
            </w:r>
            <w:r>
              <w:rPr>
                <w:rFonts w:hint="eastAsia"/>
                <w:rtl/>
              </w:rPr>
              <w:t>–</w:t>
            </w:r>
            <w:r>
              <w:rPr>
                <w:rFonts w:hint="cs"/>
                <w:rtl/>
              </w:rPr>
              <w:t>1995</w:t>
            </w:r>
            <w:r>
              <w:rPr>
                <w:rStyle w:val="a6"/>
                <w:rtl/>
              </w:rPr>
              <w:footnoteReference w:id="3"/>
            </w:r>
            <w:r>
              <w:rPr>
                <w:rFonts w:hint="cs"/>
                <w:rtl/>
              </w:rPr>
              <w:t>."</w:t>
            </w:r>
          </w:p>
        </w:tc>
      </w:tr>
      <w:tr w:rsidR="000737A0" w14:paraId="29F8161C" w14:textId="77777777" w:rsidTr="0044618E">
        <w:trPr>
          <w:cantSplit/>
          <w:trHeight w:val="60"/>
        </w:trPr>
        <w:tc>
          <w:tcPr>
            <w:tcW w:w="1873" w:type="dxa"/>
          </w:tcPr>
          <w:p w14:paraId="2DB747CE" w14:textId="77777777" w:rsidR="000737A0" w:rsidRDefault="000737A0" w:rsidP="0062682D">
            <w:pPr>
              <w:pStyle w:val="TableSideHeading"/>
              <w:keepLines w:val="0"/>
              <w:rPr>
                <w:rtl/>
              </w:rPr>
            </w:pPr>
            <w:r>
              <w:rPr>
                <w:rFonts w:hint="cs"/>
                <w:rtl/>
              </w:rPr>
              <w:t>תיקון חוק הביטוח הלאומי</w:t>
            </w:r>
          </w:p>
        </w:tc>
        <w:tc>
          <w:tcPr>
            <w:tcW w:w="624" w:type="dxa"/>
          </w:tcPr>
          <w:p w14:paraId="6B4A7D3B" w14:textId="77777777" w:rsidR="000737A0" w:rsidRDefault="000737A0" w:rsidP="0062682D">
            <w:pPr>
              <w:pStyle w:val="TableText"/>
              <w:rPr>
                <w:rtl/>
              </w:rPr>
            </w:pPr>
            <w:r>
              <w:rPr>
                <w:rFonts w:hint="cs"/>
                <w:rtl/>
              </w:rPr>
              <w:t>2.</w:t>
            </w:r>
          </w:p>
        </w:tc>
        <w:tc>
          <w:tcPr>
            <w:tcW w:w="7150" w:type="dxa"/>
            <w:gridSpan w:val="4"/>
          </w:tcPr>
          <w:p w14:paraId="23B320A5" w14:textId="4BBC2A6C" w:rsidR="000737A0" w:rsidRPr="00293D12" w:rsidRDefault="000737A0" w:rsidP="006009E6">
            <w:pPr>
              <w:pStyle w:val="TableBlock"/>
              <w:rPr>
                <w:rtl/>
              </w:rPr>
            </w:pPr>
            <w:r>
              <w:rPr>
                <w:rFonts w:hint="cs"/>
                <w:rtl/>
              </w:rPr>
              <w:t>בחוק הביטוח הלאומי [נוסח משולב], התשנ"ה</w:t>
            </w:r>
            <w:r>
              <w:rPr>
                <w:rFonts w:hint="eastAsia"/>
                <w:rtl/>
              </w:rPr>
              <w:t>–</w:t>
            </w:r>
            <w:r w:rsidR="00F91582">
              <w:rPr>
                <w:rFonts w:hint="cs"/>
                <w:rtl/>
              </w:rPr>
              <w:t>1995</w:t>
            </w:r>
            <w:r w:rsidR="00F91582">
              <w:rPr>
                <w:rStyle w:val="a6"/>
                <w:rtl/>
              </w:rPr>
              <w:footnoteReference w:id="4"/>
            </w:r>
            <w:r w:rsidR="00F91582">
              <w:rPr>
                <w:rFonts w:hint="cs"/>
                <w:rtl/>
              </w:rPr>
              <w:t xml:space="preserve">, </w:t>
            </w:r>
            <w:r w:rsidRPr="00293D12">
              <w:rPr>
                <w:rtl/>
              </w:rPr>
              <w:t>בכל מקום, במקום "חופשת לידה"</w:t>
            </w:r>
            <w:r>
              <w:rPr>
                <w:rFonts w:hint="cs"/>
                <w:rtl/>
              </w:rPr>
              <w:t xml:space="preserve"> יבוא </w:t>
            </w:r>
            <w:r>
              <w:rPr>
                <w:rtl/>
              </w:rPr>
              <w:t>"תקופת לידה והורות"</w:t>
            </w:r>
            <w:r>
              <w:rPr>
                <w:rFonts w:hint="cs"/>
                <w:rtl/>
              </w:rPr>
              <w:t>.</w:t>
            </w:r>
          </w:p>
        </w:tc>
      </w:tr>
    </w:tbl>
    <w:p w14:paraId="59A2685E" w14:textId="61A9D588" w:rsidR="0057191F" w:rsidRDefault="0057191F" w:rsidP="002D1EE3">
      <w:pPr>
        <w:pStyle w:val="HeadDivreiHesber"/>
        <w:rPr>
          <w:rtl/>
        </w:rPr>
      </w:pPr>
      <w:r w:rsidRPr="0057191F">
        <w:rPr>
          <w:rtl/>
        </w:rPr>
        <w:lastRenderedPageBreak/>
        <w:t>דברי הסבר</w:t>
      </w:r>
    </w:p>
    <w:p w14:paraId="5E2C1638" w14:textId="77777777" w:rsidR="006210B7" w:rsidRPr="000737A0" w:rsidRDefault="006210B7" w:rsidP="006009E6">
      <w:pPr>
        <w:pStyle w:val="Hesber"/>
        <w:rPr>
          <w:rtl/>
        </w:rPr>
      </w:pPr>
      <w:r w:rsidRPr="000737A0">
        <w:rPr>
          <w:rtl/>
        </w:rPr>
        <w:t>הדיון והשיח הציבורי בישראל לגבי הצורך לצמצם פערים מגדריים בשוק העבודה משתנה ודורש התאמה גם ברמת החקיקה.</w:t>
      </w:r>
    </w:p>
    <w:p w14:paraId="4F8AF126" w14:textId="22862035" w:rsidR="000737A0" w:rsidRPr="0043102C" w:rsidRDefault="006210B7" w:rsidP="006009E6">
      <w:pPr>
        <w:pStyle w:val="Hesber"/>
        <w:rPr>
          <w:rtl/>
        </w:rPr>
      </w:pPr>
      <w:r w:rsidRPr="000737A0">
        <w:rPr>
          <w:rtl/>
        </w:rPr>
        <w:t xml:space="preserve">דעות קדומות של מעסיקים לגבי יכולתן ונכונותן המקצועית של נשים בשוק העבודה, פערי השכר בין גברים ונשים, ומיעוט הנשים בתפקידים בכירים בשוק העבודה הפרטי והציבורי רק מחדדים את הדחיפות </w:t>
      </w:r>
      <w:r w:rsidR="00F05380">
        <w:rPr>
          <w:rFonts w:hint="cs"/>
          <w:rtl/>
        </w:rPr>
        <w:t xml:space="preserve">שיש </w:t>
      </w:r>
      <w:r w:rsidRPr="000737A0">
        <w:rPr>
          <w:rtl/>
        </w:rPr>
        <w:t>לטיפול בנושא</w:t>
      </w:r>
      <w:r w:rsidR="00F05380">
        <w:rPr>
          <w:rFonts w:hint="cs"/>
          <w:rtl/>
        </w:rPr>
        <w:t>.</w:t>
      </w:r>
      <w:r w:rsidR="000737A0" w:rsidRPr="000737A0">
        <w:rPr>
          <w:rFonts w:hint="cs"/>
          <w:rtl/>
        </w:rPr>
        <w:t xml:space="preserve"> </w:t>
      </w:r>
    </w:p>
    <w:p w14:paraId="399C272B" w14:textId="31EFF141" w:rsidR="006210B7" w:rsidRPr="000737A0" w:rsidRDefault="006210B7" w:rsidP="002507A7">
      <w:pPr>
        <w:pStyle w:val="Hesber"/>
        <w:rPr>
          <w:rtl/>
        </w:rPr>
      </w:pPr>
      <w:r w:rsidRPr="000737A0">
        <w:rPr>
          <w:rtl/>
        </w:rPr>
        <w:t xml:space="preserve">נתונים </w:t>
      </w:r>
      <w:r w:rsidR="000737A0" w:rsidRPr="000737A0">
        <w:rPr>
          <w:rtl/>
        </w:rPr>
        <w:t>ש</w:t>
      </w:r>
      <w:r w:rsidR="000737A0" w:rsidRPr="000737A0">
        <w:rPr>
          <w:rFonts w:hint="cs"/>
          <w:rtl/>
        </w:rPr>
        <w:t>נאספו</w:t>
      </w:r>
      <w:r w:rsidR="000737A0" w:rsidRPr="000737A0">
        <w:rPr>
          <w:rtl/>
        </w:rPr>
        <w:t xml:space="preserve"> </w:t>
      </w:r>
      <w:r w:rsidRPr="000737A0">
        <w:rPr>
          <w:rtl/>
        </w:rPr>
        <w:t>מצביעים על כך שהולדת ילד והיעדרות מהעבודה לצורך חופשת לידה פוגעים בשכר אימהות. כמו כן</w:t>
      </w:r>
      <w:r w:rsidR="000737A0" w:rsidRPr="000737A0">
        <w:rPr>
          <w:rFonts w:hint="cs"/>
          <w:rtl/>
        </w:rPr>
        <w:t>,</w:t>
      </w:r>
      <w:r w:rsidRPr="000737A0">
        <w:rPr>
          <w:rtl/>
        </w:rPr>
        <w:t xml:space="preserve"> ידוע כי שיעור הנשים המשתתפות בשוק העבודה עומד על כ-50% בעוד שיעור הגברים עומד על 62.3%, שכרן נמוך יותר בכל המדדים, </w:t>
      </w:r>
      <w:r w:rsidR="00F05380">
        <w:rPr>
          <w:rFonts w:hint="cs"/>
          <w:rtl/>
        </w:rPr>
        <w:t>הן</w:t>
      </w:r>
      <w:r w:rsidR="00F05380" w:rsidRPr="000737A0">
        <w:rPr>
          <w:rtl/>
        </w:rPr>
        <w:t xml:space="preserve"> </w:t>
      </w:r>
      <w:r w:rsidRPr="000737A0">
        <w:rPr>
          <w:rtl/>
        </w:rPr>
        <w:t>עובדות במשרות חלקיות יותר מאשר גברים, וכ</w:t>
      </w:r>
      <w:r w:rsidR="000737A0" w:rsidRPr="000737A0">
        <w:rPr>
          <w:rFonts w:hint="eastAsia"/>
          <w:rtl/>
        </w:rPr>
        <w:t>ן</w:t>
      </w:r>
      <w:r w:rsidRPr="000737A0">
        <w:rPr>
          <w:rtl/>
        </w:rPr>
        <w:t xml:space="preserve"> 26% מהנשים בין הגילאים 20-45 שעבדו ונולדו להן ילדים הפסיקו לעבוד בעקבות הולדת הילדים</w:t>
      </w:r>
      <w:r w:rsidR="006009E6">
        <w:rPr>
          <w:rFonts w:hint="cs"/>
          <w:rtl/>
        </w:rPr>
        <w:t>.</w:t>
      </w:r>
      <w:r w:rsidR="000737A0" w:rsidRPr="000737A0">
        <w:rPr>
          <w:rtl/>
        </w:rPr>
        <w:t xml:space="preserve"> </w:t>
      </w:r>
      <w:r w:rsidR="00F05380" w:rsidRPr="000737A0">
        <w:rPr>
          <w:rtl/>
        </w:rPr>
        <w:t xml:space="preserve">מנתונים שנמסרו מהנציבות לשוויון הזדמנויות בעבודה ב-17.6.2015 עולה כי 43% מהתלונות של מועסקים על </w:t>
      </w:r>
      <w:r w:rsidR="00F91582">
        <w:rPr>
          <w:rFonts w:hint="cs"/>
          <w:rtl/>
        </w:rPr>
        <w:t>ה</w:t>
      </w:r>
      <w:r w:rsidR="00F05380" w:rsidRPr="000737A0">
        <w:rPr>
          <w:rtl/>
        </w:rPr>
        <w:t xml:space="preserve">פליה בעבודה </w:t>
      </w:r>
      <w:r w:rsidR="002507A7">
        <w:rPr>
          <w:rFonts w:hint="cs"/>
          <w:rtl/>
        </w:rPr>
        <w:t>עניינן</w:t>
      </w:r>
      <w:r w:rsidR="00F91582">
        <w:rPr>
          <w:rtl/>
        </w:rPr>
        <w:t xml:space="preserve"> </w:t>
      </w:r>
      <w:r w:rsidR="002507A7">
        <w:rPr>
          <w:rFonts w:hint="cs"/>
          <w:rtl/>
        </w:rPr>
        <w:t>ב</w:t>
      </w:r>
      <w:r w:rsidR="00F05380" w:rsidRPr="000737A0">
        <w:rPr>
          <w:rtl/>
        </w:rPr>
        <w:t>נושאי הריון (34%), הורות (5%) וטיפולי פוריות (4%)</w:t>
      </w:r>
      <w:r w:rsidR="00F05380">
        <w:rPr>
          <w:rFonts w:hint="cs"/>
          <w:rtl/>
        </w:rPr>
        <w:t>.</w:t>
      </w:r>
      <w:r w:rsidR="00F05380" w:rsidRPr="00F05380">
        <w:rPr>
          <w:rtl/>
        </w:rPr>
        <w:t xml:space="preserve"> </w:t>
      </w:r>
      <w:r w:rsidR="00F05380">
        <w:rPr>
          <w:rFonts w:hint="cs"/>
          <w:rtl/>
        </w:rPr>
        <w:t>כפועל יוצא מהפערים בתעסוקה נפגעת</w:t>
      </w:r>
      <w:r w:rsidR="00F05380" w:rsidRPr="000737A0">
        <w:rPr>
          <w:rtl/>
        </w:rPr>
        <w:t xml:space="preserve"> יכולת</w:t>
      </w:r>
      <w:r w:rsidR="00F05380">
        <w:rPr>
          <w:rFonts w:hint="cs"/>
          <w:rtl/>
        </w:rPr>
        <w:t>ן של הנשים</w:t>
      </w:r>
      <w:r w:rsidR="00F05380" w:rsidRPr="000737A0">
        <w:rPr>
          <w:rtl/>
        </w:rPr>
        <w:t xml:space="preserve"> </w:t>
      </w:r>
      <w:r w:rsidR="00F05380">
        <w:rPr>
          <w:rFonts w:hint="cs"/>
          <w:rtl/>
        </w:rPr>
        <w:t>לצבור זכויות ל</w:t>
      </w:r>
      <w:r w:rsidR="00F05380" w:rsidRPr="000737A0">
        <w:rPr>
          <w:rtl/>
        </w:rPr>
        <w:t>פנסיה ו</w:t>
      </w:r>
      <w:r w:rsidR="00F05380">
        <w:rPr>
          <w:rFonts w:hint="cs"/>
          <w:rtl/>
        </w:rPr>
        <w:t xml:space="preserve">יש חשש שלא יוכלו לדאוג לעצמן בגיל הזקנה בשל כך. </w:t>
      </w:r>
    </w:p>
    <w:p w14:paraId="6BC52BA1" w14:textId="0D76B0AD" w:rsidR="006210B7" w:rsidRPr="000737A0" w:rsidRDefault="006210B7" w:rsidP="006009E6">
      <w:pPr>
        <w:pStyle w:val="Hesber"/>
        <w:rPr>
          <w:rtl/>
        </w:rPr>
      </w:pPr>
      <w:r w:rsidRPr="000737A0">
        <w:rPr>
          <w:rtl/>
        </w:rPr>
        <w:t xml:space="preserve">פערי השכר בין נשים לגברים הם תופעה רווחת ולהולדת הילדים, וההיעדרויות המתלוות לזה, יש השפעה ישירה על כך ולכן </w:t>
      </w:r>
      <w:r w:rsidR="00F05380">
        <w:rPr>
          <w:rFonts w:hint="cs"/>
          <w:rtl/>
        </w:rPr>
        <w:t>יש</w:t>
      </w:r>
      <w:r w:rsidR="00F05380" w:rsidRPr="000737A0">
        <w:rPr>
          <w:rtl/>
        </w:rPr>
        <w:t xml:space="preserve"> </w:t>
      </w:r>
      <w:r w:rsidR="00F05380">
        <w:rPr>
          <w:rFonts w:hint="cs"/>
          <w:rtl/>
        </w:rPr>
        <w:t>לשנות מצב זה</w:t>
      </w:r>
      <w:r w:rsidRPr="000737A0">
        <w:rPr>
          <w:rtl/>
        </w:rPr>
        <w:t>.</w:t>
      </w:r>
      <w:r w:rsidR="00346493" w:rsidRPr="000737A0">
        <w:rPr>
          <w:rFonts w:hint="cs"/>
          <w:rtl/>
        </w:rPr>
        <w:t xml:space="preserve"> </w:t>
      </w:r>
    </w:p>
    <w:p w14:paraId="3CBB4904" w14:textId="084139C1" w:rsidR="006210B7" w:rsidRPr="00F91582" w:rsidRDefault="00F05380" w:rsidP="00F91582">
      <w:pPr>
        <w:pStyle w:val="Hesber"/>
        <w:rPr>
          <w:rtl/>
        </w:rPr>
      </w:pPr>
      <w:r w:rsidRPr="00F91582">
        <w:rPr>
          <w:rFonts w:hint="cs"/>
          <w:rtl/>
        </w:rPr>
        <w:t>בנוסף אבות עובדים רבים</w:t>
      </w:r>
      <w:r w:rsidR="000737A0" w:rsidRPr="00F91582">
        <w:rPr>
          <w:rFonts w:hint="cs"/>
          <w:rtl/>
        </w:rPr>
        <w:t xml:space="preserve"> אינם</w:t>
      </w:r>
      <w:r w:rsidR="006210B7" w:rsidRPr="00F91582">
        <w:rPr>
          <w:rtl/>
        </w:rPr>
        <w:t xml:space="preserve"> מודעים לזכאות</w:t>
      </w:r>
      <w:r w:rsidR="000737A0" w:rsidRPr="00F91582">
        <w:rPr>
          <w:rFonts w:hint="cs"/>
          <w:rtl/>
        </w:rPr>
        <w:t>ם לצאת לחופשת לידה</w:t>
      </w:r>
      <w:r w:rsidR="006210B7" w:rsidRPr="00F91582">
        <w:rPr>
          <w:rtl/>
        </w:rPr>
        <w:t xml:space="preserve"> או חושבים ש</w:t>
      </w:r>
      <w:r w:rsidRPr="00F91582">
        <w:rPr>
          <w:rFonts w:hint="cs"/>
          <w:rtl/>
        </w:rPr>
        <w:t xml:space="preserve">עליהם לקבל </w:t>
      </w:r>
      <w:r w:rsidR="006210B7" w:rsidRPr="00F91582">
        <w:rPr>
          <w:rtl/>
        </w:rPr>
        <w:t xml:space="preserve"> אישור מיוחד מהמעסיקים </w:t>
      </w:r>
      <w:r w:rsidRPr="00F91582">
        <w:rPr>
          <w:rFonts w:hint="cs"/>
          <w:rtl/>
        </w:rPr>
        <w:t xml:space="preserve">לשם כך </w:t>
      </w:r>
      <w:r w:rsidR="006210B7" w:rsidRPr="00F91582">
        <w:rPr>
          <w:rtl/>
        </w:rPr>
        <w:t>ולכן נמנעים</w:t>
      </w:r>
      <w:r w:rsidR="000737A0" w:rsidRPr="00F91582">
        <w:rPr>
          <w:rFonts w:hint="cs"/>
          <w:rtl/>
        </w:rPr>
        <w:t xml:space="preserve"> </w:t>
      </w:r>
      <w:r w:rsidRPr="00F91582">
        <w:rPr>
          <w:rFonts w:hint="cs"/>
          <w:rtl/>
        </w:rPr>
        <w:t>מלנצל את זכותם לצאת לחופשת לידה</w:t>
      </w:r>
      <w:r w:rsidR="006210B7" w:rsidRPr="00F91582">
        <w:rPr>
          <w:rtl/>
        </w:rPr>
        <w:t xml:space="preserve">. </w:t>
      </w:r>
      <w:r w:rsidRPr="00F91582">
        <w:rPr>
          <w:rFonts w:hint="cs"/>
          <w:rtl/>
        </w:rPr>
        <w:t xml:space="preserve">מטרתה של הצעת החוק היא להסיר את החסם ולעודד את האבות </w:t>
      </w:r>
      <w:r w:rsidR="006210B7" w:rsidRPr="00F91582">
        <w:rPr>
          <w:rtl/>
        </w:rPr>
        <w:t xml:space="preserve"> המעוניינים</w:t>
      </w:r>
      <w:r w:rsidRPr="00F91582">
        <w:rPr>
          <w:rFonts w:hint="cs"/>
          <w:rtl/>
        </w:rPr>
        <w:t xml:space="preserve"> בכך</w:t>
      </w:r>
      <w:r w:rsidR="006210B7" w:rsidRPr="00F91582">
        <w:rPr>
          <w:rtl/>
        </w:rPr>
        <w:t xml:space="preserve"> להיות מעורבים בגידול </w:t>
      </w:r>
      <w:r w:rsidR="000737A0" w:rsidRPr="00F91582">
        <w:rPr>
          <w:rFonts w:hint="cs"/>
          <w:rtl/>
        </w:rPr>
        <w:t>ילדיהם</w:t>
      </w:r>
      <w:r w:rsidR="006210B7" w:rsidRPr="00F91582">
        <w:rPr>
          <w:rtl/>
        </w:rPr>
        <w:t xml:space="preserve">. </w:t>
      </w:r>
    </w:p>
    <w:p w14:paraId="77ECEF86" w14:textId="5E9013BF" w:rsidR="006210B7" w:rsidRPr="00F91582" w:rsidRDefault="00F05380" w:rsidP="00F91582">
      <w:pPr>
        <w:pStyle w:val="Hesber"/>
        <w:rPr>
          <w:rtl/>
        </w:rPr>
      </w:pPr>
      <w:r w:rsidRPr="00F91582">
        <w:rPr>
          <w:rFonts w:hint="cs"/>
          <w:rtl/>
        </w:rPr>
        <w:t>לפיכך</w:t>
      </w:r>
      <w:r w:rsidR="006009E6" w:rsidRPr="00F91582">
        <w:rPr>
          <w:rFonts w:hint="cs"/>
          <w:rtl/>
        </w:rPr>
        <w:t>,</w:t>
      </w:r>
      <w:r w:rsidRPr="00F91582">
        <w:rPr>
          <w:rFonts w:hint="cs"/>
          <w:rtl/>
        </w:rPr>
        <w:t xml:space="preserve"> </w:t>
      </w:r>
      <w:r w:rsidR="000737A0" w:rsidRPr="00F91582">
        <w:rPr>
          <w:rFonts w:hint="cs"/>
          <w:rtl/>
        </w:rPr>
        <w:t>מוצע ל</w:t>
      </w:r>
      <w:r w:rsidRPr="00F91582">
        <w:rPr>
          <w:rFonts w:hint="cs"/>
          <w:rtl/>
        </w:rPr>
        <w:t>חייב את ה</w:t>
      </w:r>
      <w:r w:rsidR="00F91582">
        <w:rPr>
          <w:rFonts w:hint="cs"/>
          <w:rtl/>
        </w:rPr>
        <w:t>מוסד לביטוח לאומי להודיע להורים</w:t>
      </w:r>
      <w:r w:rsidRPr="00F91582">
        <w:rPr>
          <w:rFonts w:hint="cs"/>
          <w:rtl/>
        </w:rPr>
        <w:t xml:space="preserve"> בכתב </w:t>
      </w:r>
      <w:r w:rsidR="00A764DD" w:rsidRPr="00F91582">
        <w:rPr>
          <w:rFonts w:hint="cs"/>
          <w:rtl/>
        </w:rPr>
        <w:t xml:space="preserve">על </w:t>
      </w:r>
      <w:r w:rsidR="006210B7" w:rsidRPr="00F91582">
        <w:rPr>
          <w:rtl/>
        </w:rPr>
        <w:t xml:space="preserve">כלל הזכויות הקשורות </w:t>
      </w:r>
      <w:r w:rsidR="000737A0" w:rsidRPr="00F91582">
        <w:rPr>
          <w:rFonts w:hint="cs"/>
          <w:rtl/>
        </w:rPr>
        <w:t xml:space="preserve"> </w:t>
      </w:r>
      <w:r w:rsidR="00A764DD" w:rsidRPr="00F91582">
        <w:rPr>
          <w:rFonts w:hint="cs"/>
          <w:rtl/>
        </w:rPr>
        <w:t>ב</w:t>
      </w:r>
      <w:r w:rsidR="000737A0" w:rsidRPr="00F91582">
        <w:rPr>
          <w:rFonts w:hint="cs"/>
          <w:rtl/>
        </w:rPr>
        <w:t>הורות</w:t>
      </w:r>
      <w:r w:rsidR="00F91582">
        <w:rPr>
          <w:rFonts w:hint="cs"/>
          <w:rtl/>
        </w:rPr>
        <w:t>,</w:t>
      </w:r>
      <w:r w:rsidR="006210B7" w:rsidRPr="00F91582">
        <w:rPr>
          <w:rtl/>
        </w:rPr>
        <w:t xml:space="preserve"> </w:t>
      </w:r>
      <w:r w:rsidR="00A764DD" w:rsidRPr="00F91582">
        <w:rPr>
          <w:rFonts w:hint="cs"/>
          <w:rtl/>
        </w:rPr>
        <w:t xml:space="preserve">לרבות בדבר </w:t>
      </w:r>
      <w:r w:rsidR="006210B7" w:rsidRPr="00F91582">
        <w:rPr>
          <w:rtl/>
        </w:rPr>
        <w:t>ההגנות השונות המגיעות לאישה ולגבר</w:t>
      </w:r>
      <w:r w:rsidR="006009E6" w:rsidRPr="00F91582">
        <w:rPr>
          <w:rFonts w:hint="cs"/>
          <w:rtl/>
        </w:rPr>
        <w:t xml:space="preserve"> </w:t>
      </w:r>
      <w:r w:rsidR="00F91582">
        <w:rPr>
          <w:rFonts w:hint="cs"/>
          <w:rtl/>
        </w:rPr>
        <w:t>הקבועות</w:t>
      </w:r>
      <w:r w:rsidR="00A764DD" w:rsidRPr="00F91582">
        <w:rPr>
          <w:rFonts w:hint="cs"/>
          <w:rtl/>
        </w:rPr>
        <w:t xml:space="preserve"> בחוק</w:t>
      </w:r>
      <w:r w:rsidR="006210B7" w:rsidRPr="00F91582">
        <w:rPr>
          <w:rtl/>
        </w:rPr>
        <w:t>.</w:t>
      </w:r>
    </w:p>
    <w:p w14:paraId="7F6961CB" w14:textId="4F790F3F" w:rsidR="00E13C27" w:rsidRDefault="00A764DD" w:rsidP="00F91582">
      <w:pPr>
        <w:pStyle w:val="Hesber"/>
        <w:rPr>
          <w:rtl/>
        </w:rPr>
      </w:pPr>
      <w:r w:rsidRPr="00F91582">
        <w:rPr>
          <w:rFonts w:hint="cs"/>
          <w:rtl/>
        </w:rPr>
        <w:t xml:space="preserve">בנוסף </w:t>
      </w:r>
      <w:r w:rsidR="002E72D2" w:rsidRPr="00F91582">
        <w:rPr>
          <w:rFonts w:hint="cs"/>
          <w:rtl/>
        </w:rPr>
        <w:t>מוצע</w:t>
      </w:r>
      <w:r w:rsidR="00F91582">
        <w:rPr>
          <w:rtl/>
        </w:rPr>
        <w:t xml:space="preserve"> לשנות </w:t>
      </w:r>
      <w:r w:rsidR="006210B7" w:rsidRPr="00F91582">
        <w:rPr>
          <w:rtl/>
        </w:rPr>
        <w:t xml:space="preserve">את הטרמינולוגיה </w:t>
      </w:r>
      <w:r w:rsidRPr="00F91582">
        <w:rPr>
          <w:rFonts w:hint="cs"/>
          <w:rtl/>
        </w:rPr>
        <w:t xml:space="preserve">הקיימת בחוקי </w:t>
      </w:r>
      <w:r w:rsidR="006210B7" w:rsidRPr="00F91582">
        <w:rPr>
          <w:rtl/>
        </w:rPr>
        <w:t xml:space="preserve">העבודה על מנת לייצר תודעה חדשה </w:t>
      </w:r>
      <w:r w:rsidR="002E72D2" w:rsidRPr="00F91582">
        <w:rPr>
          <w:rFonts w:hint="cs"/>
          <w:rtl/>
        </w:rPr>
        <w:t>ו</w:t>
      </w:r>
      <w:r w:rsidR="006210B7" w:rsidRPr="00F91582">
        <w:rPr>
          <w:rtl/>
        </w:rPr>
        <w:t>שוויונית יותר</w:t>
      </w:r>
      <w:r w:rsidR="002E72D2" w:rsidRPr="00F91582">
        <w:rPr>
          <w:rFonts w:hint="cs"/>
          <w:rtl/>
        </w:rPr>
        <w:t>, ו</w:t>
      </w:r>
      <w:r w:rsidRPr="00F91582">
        <w:rPr>
          <w:rtl/>
        </w:rPr>
        <w:t xml:space="preserve">זאת על ידי שינוי  </w:t>
      </w:r>
      <w:r w:rsidRPr="00F91582">
        <w:rPr>
          <w:rFonts w:hint="cs"/>
          <w:rtl/>
        </w:rPr>
        <w:t xml:space="preserve">המינוח </w:t>
      </w:r>
      <w:r w:rsidRPr="00F91582">
        <w:rPr>
          <w:rtl/>
        </w:rPr>
        <w:t xml:space="preserve">"חופשת לידה" שייחודית לאם </w:t>
      </w:r>
      <w:r w:rsidRPr="00F91582">
        <w:rPr>
          <w:rFonts w:hint="cs"/>
          <w:rtl/>
        </w:rPr>
        <w:t xml:space="preserve">ל"תקופת לידה והורות" באופן שידגיש התייחסות שוויונית לשני ההורים ויעודד את האבות לקחת חלק שווה בתהליך גידול הילדים. </w:t>
      </w:r>
    </w:p>
    <w:p w14:paraId="62AE301F" w14:textId="50D142ED" w:rsidR="00F91582" w:rsidRDefault="008B21EA" w:rsidP="00BA0D18">
      <w:pPr>
        <w:pStyle w:val="Hesber"/>
        <w:rPr>
          <w:rtl/>
        </w:rPr>
      </w:pPr>
      <w:r>
        <w:rPr>
          <w:rFonts w:hint="cs"/>
          <w:rtl/>
        </w:rPr>
        <w:t xml:space="preserve">כן מוצע לשנות את שעת ההיעדרות של נשים מעבודה המוכרת "כשעת הנקה" ל"שעת הורות" ולאפשר לבני זוג המעוניינים בכך לחלק ביניהם את שעת ההיעדרות, מתוך רצון לאפשר </w:t>
      </w:r>
      <w:r w:rsidRPr="00492DF3">
        <w:rPr>
          <w:rtl/>
        </w:rPr>
        <w:t xml:space="preserve">חירות וזכות בחירה </w:t>
      </w:r>
      <w:r>
        <w:rPr>
          <w:rFonts w:hint="cs"/>
          <w:rtl/>
        </w:rPr>
        <w:t>לבני הזוג</w:t>
      </w:r>
      <w:r w:rsidRPr="00492DF3">
        <w:rPr>
          <w:rtl/>
        </w:rPr>
        <w:t>.</w:t>
      </w:r>
      <w:r>
        <w:rPr>
          <w:rFonts w:hint="cs"/>
          <w:rtl/>
        </w:rPr>
        <w:t xml:space="preserve"> </w:t>
      </w:r>
      <w:r w:rsidRPr="00492DF3">
        <w:rPr>
          <w:rtl/>
        </w:rPr>
        <w:t>שינויים אלו יאפשרו לקדם ולייצר תודעה ומציאות שוויונית בתא המשפחתי</w:t>
      </w:r>
      <w:r>
        <w:rPr>
          <w:rFonts w:hint="cs"/>
          <w:rtl/>
        </w:rPr>
        <w:t xml:space="preserve">, </w:t>
      </w:r>
      <w:r w:rsidRPr="00492DF3">
        <w:rPr>
          <w:rtl/>
        </w:rPr>
        <w:t>לשנות את היחס לנשים בגיל הפריון בשוק העבודה ליחס שוויוני יותר, לקדם תעסוקת נשים ואת מעמד</w:t>
      </w:r>
      <w:r>
        <w:rPr>
          <w:rFonts w:hint="cs"/>
          <w:rtl/>
        </w:rPr>
        <w:t>ן</w:t>
      </w:r>
      <w:r w:rsidRPr="00492DF3">
        <w:rPr>
          <w:rtl/>
        </w:rPr>
        <w:t xml:space="preserve"> בשוק העבודה ו</w:t>
      </w:r>
      <w:r>
        <w:rPr>
          <w:rFonts w:hint="cs"/>
          <w:rtl/>
        </w:rPr>
        <w:t>להפוך</w:t>
      </w:r>
      <w:r w:rsidRPr="00492DF3">
        <w:rPr>
          <w:rtl/>
        </w:rPr>
        <w:t xml:space="preserve"> </w:t>
      </w:r>
      <w:r>
        <w:rPr>
          <w:rFonts w:hint="cs"/>
          <w:rtl/>
        </w:rPr>
        <w:t xml:space="preserve">את </w:t>
      </w:r>
      <w:r>
        <w:rPr>
          <w:rtl/>
        </w:rPr>
        <w:t xml:space="preserve">האבות </w:t>
      </w:r>
      <w:r>
        <w:rPr>
          <w:rFonts w:hint="cs"/>
          <w:rtl/>
        </w:rPr>
        <w:t>ל</w:t>
      </w:r>
      <w:r w:rsidRPr="00492DF3">
        <w:rPr>
          <w:rtl/>
        </w:rPr>
        <w:t xml:space="preserve">חלק </w:t>
      </w:r>
      <w:r>
        <w:rPr>
          <w:rFonts w:hint="cs"/>
          <w:rtl/>
        </w:rPr>
        <w:t>אינטגרלי מ</w:t>
      </w:r>
      <w:r w:rsidR="00BA0D18">
        <w:rPr>
          <w:rtl/>
        </w:rPr>
        <w:t>מעגל ההורות.</w:t>
      </w:r>
    </w:p>
    <w:p w14:paraId="241D9463" w14:textId="2DAC2C15" w:rsidR="00576492" w:rsidRDefault="00576492" w:rsidP="00BA0D18">
      <w:pPr>
        <w:pStyle w:val="Hesber"/>
        <w:rPr>
          <w:rtl/>
        </w:rPr>
      </w:pPr>
    </w:p>
    <w:p w14:paraId="329588C1" w14:textId="77777777" w:rsidR="00576492" w:rsidRDefault="00576492" w:rsidP="00BA0D18">
      <w:pPr>
        <w:pStyle w:val="Hesber"/>
        <w:rPr>
          <w:rFonts w:hint="cs"/>
          <w:rtl/>
        </w:rPr>
      </w:pPr>
    </w:p>
    <w:p w14:paraId="49A4392A" w14:textId="77777777" w:rsidR="00F91582" w:rsidRPr="00557D2C" w:rsidRDefault="00F91582" w:rsidP="00576492">
      <w:pPr>
        <w:pStyle w:val="Hesber"/>
        <w:rPr>
          <w:rtl/>
        </w:rPr>
      </w:pPr>
      <w:r w:rsidRPr="00557D2C">
        <w:rPr>
          <w:rtl/>
        </w:rPr>
        <w:t>---------------------------------</w:t>
      </w:r>
    </w:p>
    <w:p w14:paraId="3C31D201" w14:textId="77777777" w:rsidR="00F91582" w:rsidRPr="00557D2C" w:rsidRDefault="00F91582" w:rsidP="00576492">
      <w:pPr>
        <w:pStyle w:val="Hesber"/>
        <w:rPr>
          <w:rtl/>
        </w:rPr>
      </w:pPr>
      <w:r w:rsidRPr="00557D2C">
        <w:rPr>
          <w:rtl/>
        </w:rPr>
        <w:t>הוגשה ליו"ר הכנסת והסגנים</w:t>
      </w:r>
    </w:p>
    <w:p w14:paraId="5E5250B8" w14:textId="77777777" w:rsidR="00F91582" w:rsidRPr="00557D2C" w:rsidRDefault="00F91582" w:rsidP="00576492">
      <w:pPr>
        <w:pStyle w:val="Hesber"/>
        <w:rPr>
          <w:rtl/>
        </w:rPr>
      </w:pPr>
      <w:r w:rsidRPr="00557D2C">
        <w:rPr>
          <w:rtl/>
        </w:rPr>
        <w:t>והונחה על שולחן הכנסת ביום</w:t>
      </w:r>
    </w:p>
    <w:p w14:paraId="16EF9350" w14:textId="77777777" w:rsidR="00F91582" w:rsidRPr="008D1E08" w:rsidRDefault="00F91582" w:rsidP="00576492">
      <w:pPr>
        <w:pStyle w:val="Hesber"/>
      </w:pPr>
      <w:r>
        <w:rPr>
          <w:rFonts w:hint="cs"/>
          <w:rtl/>
        </w:rPr>
        <w:t>כ"ט</w:t>
      </w:r>
      <w:r w:rsidRPr="00557D2C">
        <w:rPr>
          <w:rFonts w:hint="cs"/>
          <w:rtl/>
        </w:rPr>
        <w:t xml:space="preserve"> </w:t>
      </w:r>
      <w:r>
        <w:rPr>
          <w:rFonts w:hint="cs"/>
          <w:rtl/>
        </w:rPr>
        <w:t xml:space="preserve">בתשרי </w:t>
      </w:r>
      <w:r w:rsidRPr="00557D2C">
        <w:rPr>
          <w:rFonts w:hint="cs"/>
          <w:rtl/>
        </w:rPr>
        <w:t>התשע"</w:t>
      </w:r>
      <w:r>
        <w:rPr>
          <w:rFonts w:hint="cs"/>
          <w:rtl/>
        </w:rPr>
        <w:t>ו</w:t>
      </w:r>
      <w:r w:rsidRPr="00557D2C">
        <w:rPr>
          <w:rFonts w:hint="cs"/>
          <w:rtl/>
        </w:rPr>
        <w:t xml:space="preserve"> </w:t>
      </w:r>
      <w:r w:rsidRPr="00557D2C">
        <w:rPr>
          <w:rtl/>
        </w:rPr>
        <w:t>–</w:t>
      </w:r>
      <w:r>
        <w:rPr>
          <w:rFonts w:hint="cs"/>
          <w:rtl/>
        </w:rPr>
        <w:t xml:space="preserve"> 12.10.15</w:t>
      </w:r>
    </w:p>
    <w:p w14:paraId="2611A1F7" w14:textId="77777777" w:rsidR="00F91582" w:rsidRPr="00F91582" w:rsidRDefault="00F91582" w:rsidP="00F91582">
      <w:pPr>
        <w:pStyle w:val="Hesber"/>
        <w:rPr>
          <w:rtl/>
        </w:rPr>
      </w:pPr>
    </w:p>
    <w:sectPr w:rsidR="00F91582" w:rsidRPr="00F91582" w:rsidSect="00576492">
      <w:footerReference w:type="even" r:id="rId11"/>
      <w:footerReference w:type="default" r:id="rId12"/>
      <w:pgSz w:w="11907" w:h="16840" w:code="9"/>
      <w:pgMar w:top="993"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576492">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2D75048B" w14:textId="77777777" w:rsidR="000737A0" w:rsidRDefault="000737A0" w:rsidP="000737A0">
      <w:pPr>
        <w:pStyle w:val="a4"/>
        <w:rPr>
          <w:rtl/>
        </w:rPr>
      </w:pPr>
      <w:r>
        <w:rPr>
          <w:rStyle w:val="a6"/>
        </w:rPr>
        <w:footnoteRef/>
      </w:r>
      <w:r>
        <w:rPr>
          <w:rtl/>
        </w:rPr>
        <w:t xml:space="preserve"> </w:t>
      </w:r>
      <w:r>
        <w:rPr>
          <w:rFonts w:hint="cs"/>
          <w:rtl/>
        </w:rPr>
        <w:t>ס"ח התשי"ד, עמ' 154.</w:t>
      </w:r>
    </w:p>
  </w:footnote>
  <w:footnote w:id="3">
    <w:p w14:paraId="775D8E00" w14:textId="77777777" w:rsidR="00F91582" w:rsidRDefault="00F91582" w:rsidP="00F91582">
      <w:pPr>
        <w:pStyle w:val="a4"/>
      </w:pPr>
      <w:r>
        <w:rPr>
          <w:rStyle w:val="a6"/>
        </w:rPr>
        <w:footnoteRef/>
      </w:r>
      <w:r>
        <w:rPr>
          <w:rtl/>
        </w:rPr>
        <w:t xml:space="preserve"> </w:t>
      </w:r>
      <w:r>
        <w:rPr>
          <w:rFonts w:hint="cs"/>
          <w:rtl/>
        </w:rPr>
        <w:t>ס"ח התשנ"ה, עמ' 210.</w:t>
      </w:r>
    </w:p>
  </w:footnote>
  <w:footnote w:id="4">
    <w:p w14:paraId="55AD5984" w14:textId="7DB9322A" w:rsidR="00F91582" w:rsidRDefault="00F91582">
      <w:pPr>
        <w:pStyle w:val="a4"/>
        <w:rPr>
          <w:rtl/>
        </w:rPr>
      </w:pPr>
      <w:r>
        <w:rPr>
          <w:rStyle w:val="a6"/>
        </w:rPr>
        <w:footnoteRef/>
      </w:r>
      <w:r>
        <w:rPr>
          <w:rtl/>
        </w:rPr>
        <w:t xml:space="preserve"> </w:t>
      </w:r>
      <w:r>
        <w:rPr>
          <w:rFonts w:hint="cs"/>
          <w:rtl/>
        </w:rPr>
        <w:t>ס"ח התשנ"ה, עמ' 210.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37A0"/>
    <w:rsid w:val="0007681A"/>
    <w:rsid w:val="000A542E"/>
    <w:rsid w:val="00102B6B"/>
    <w:rsid w:val="0010446E"/>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07A7"/>
    <w:rsid w:val="00251E58"/>
    <w:rsid w:val="00254605"/>
    <w:rsid w:val="00266D86"/>
    <w:rsid w:val="002728B4"/>
    <w:rsid w:val="0027600C"/>
    <w:rsid w:val="00292712"/>
    <w:rsid w:val="002A487D"/>
    <w:rsid w:val="002C2E29"/>
    <w:rsid w:val="002C3041"/>
    <w:rsid w:val="002D1EE3"/>
    <w:rsid w:val="002E72D2"/>
    <w:rsid w:val="002F1D80"/>
    <w:rsid w:val="003232A2"/>
    <w:rsid w:val="00325C14"/>
    <w:rsid w:val="00346493"/>
    <w:rsid w:val="0036422C"/>
    <w:rsid w:val="003710F6"/>
    <w:rsid w:val="00386E88"/>
    <w:rsid w:val="00396585"/>
    <w:rsid w:val="003D6E38"/>
    <w:rsid w:val="003D74A0"/>
    <w:rsid w:val="004033D8"/>
    <w:rsid w:val="004073F0"/>
    <w:rsid w:val="00412A7D"/>
    <w:rsid w:val="00416B4D"/>
    <w:rsid w:val="00417CFC"/>
    <w:rsid w:val="0043102C"/>
    <w:rsid w:val="0044618E"/>
    <w:rsid w:val="004A06DC"/>
    <w:rsid w:val="004B24ED"/>
    <w:rsid w:val="004B6625"/>
    <w:rsid w:val="004D2D82"/>
    <w:rsid w:val="004D3876"/>
    <w:rsid w:val="004E4552"/>
    <w:rsid w:val="004E6CDF"/>
    <w:rsid w:val="00553C9D"/>
    <w:rsid w:val="00562A66"/>
    <w:rsid w:val="0057191F"/>
    <w:rsid w:val="00576492"/>
    <w:rsid w:val="005B064E"/>
    <w:rsid w:val="005C3CCF"/>
    <w:rsid w:val="005D51AE"/>
    <w:rsid w:val="006009E6"/>
    <w:rsid w:val="006210B7"/>
    <w:rsid w:val="0062674B"/>
    <w:rsid w:val="006363B2"/>
    <w:rsid w:val="00644940"/>
    <w:rsid w:val="006818A9"/>
    <w:rsid w:val="006A2D81"/>
    <w:rsid w:val="006C1D0D"/>
    <w:rsid w:val="0070601E"/>
    <w:rsid w:val="00712C72"/>
    <w:rsid w:val="00735FE9"/>
    <w:rsid w:val="00763CAA"/>
    <w:rsid w:val="00765F66"/>
    <w:rsid w:val="0078664F"/>
    <w:rsid w:val="007C3FA6"/>
    <w:rsid w:val="007D585A"/>
    <w:rsid w:val="007D5A12"/>
    <w:rsid w:val="007E59F9"/>
    <w:rsid w:val="007F7627"/>
    <w:rsid w:val="00810BCD"/>
    <w:rsid w:val="00812C98"/>
    <w:rsid w:val="00814D92"/>
    <w:rsid w:val="0083181D"/>
    <w:rsid w:val="00843EB2"/>
    <w:rsid w:val="00865572"/>
    <w:rsid w:val="00874BBC"/>
    <w:rsid w:val="00892135"/>
    <w:rsid w:val="00895449"/>
    <w:rsid w:val="00897879"/>
    <w:rsid w:val="008A6870"/>
    <w:rsid w:val="008B21EA"/>
    <w:rsid w:val="008B7C07"/>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764DD"/>
    <w:rsid w:val="00A77952"/>
    <w:rsid w:val="00A82CB7"/>
    <w:rsid w:val="00A942C1"/>
    <w:rsid w:val="00AA2F03"/>
    <w:rsid w:val="00AC36F7"/>
    <w:rsid w:val="00AC63A4"/>
    <w:rsid w:val="00AD239E"/>
    <w:rsid w:val="00B10265"/>
    <w:rsid w:val="00B16A99"/>
    <w:rsid w:val="00B21211"/>
    <w:rsid w:val="00B35784"/>
    <w:rsid w:val="00B733A7"/>
    <w:rsid w:val="00B75C91"/>
    <w:rsid w:val="00B975AD"/>
    <w:rsid w:val="00BA0D18"/>
    <w:rsid w:val="00BC45FB"/>
    <w:rsid w:val="00BF148D"/>
    <w:rsid w:val="00C23B1A"/>
    <w:rsid w:val="00C310EB"/>
    <w:rsid w:val="00C9176A"/>
    <w:rsid w:val="00CF1AA2"/>
    <w:rsid w:val="00CF4499"/>
    <w:rsid w:val="00D17774"/>
    <w:rsid w:val="00D63620"/>
    <w:rsid w:val="00D8410D"/>
    <w:rsid w:val="00D867D7"/>
    <w:rsid w:val="00DB7060"/>
    <w:rsid w:val="00DE3153"/>
    <w:rsid w:val="00E06736"/>
    <w:rsid w:val="00E13C27"/>
    <w:rsid w:val="00E17035"/>
    <w:rsid w:val="00E33BBD"/>
    <w:rsid w:val="00E374F2"/>
    <w:rsid w:val="00E45103"/>
    <w:rsid w:val="00E55A60"/>
    <w:rsid w:val="00E62778"/>
    <w:rsid w:val="00E63D38"/>
    <w:rsid w:val="00E665B9"/>
    <w:rsid w:val="00EA01E6"/>
    <w:rsid w:val="00EA3DE8"/>
    <w:rsid w:val="00EA758F"/>
    <w:rsid w:val="00ED4A6F"/>
    <w:rsid w:val="00EF3A3A"/>
    <w:rsid w:val="00F05380"/>
    <w:rsid w:val="00F628D6"/>
    <w:rsid w:val="00F67051"/>
    <w:rsid w:val="00F86A1E"/>
    <w:rsid w:val="00F91582"/>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A4B35B30-F66C-4581-A018-929B7FC9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uiPriority w:val="99"/>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0737A0"/>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A2063-C662-4AE2-99A0-02D350DBE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88F4AFE3-9455-419C-8851-785A55F44517}">
  <ds:schemaRef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97DB5C76-A41E-4FFF-86D1-144B04B2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565</Words>
  <Characters>2825</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19</cp:revision>
  <cp:lastPrinted>2015-10-07T12:20:00Z</cp:lastPrinted>
  <dcterms:created xsi:type="dcterms:W3CDTF">2015-04-20T09:58:00Z</dcterms:created>
  <dcterms:modified xsi:type="dcterms:W3CDTF">2015-10-07T12:20:00Z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568456</vt:r8>
  </property>
</Properties>
</file>