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74" w:rsidRDefault="00952F74" w:rsidP="00511CC1">
      <w:pPr>
        <w:pageBreakBefore/>
        <w:jc w:val="center"/>
        <w:rPr>
          <w:rFonts w:ascii="Tahoma" w:hAnsi="Tahoma" w:cs="David"/>
          <w:rtl/>
        </w:rPr>
      </w:pPr>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0" w:name="Heb_Date"/>
      <w:r>
        <w:rPr>
          <w:rFonts w:ascii="Tahoma" w:hAnsi="Tahoma" w:cs="David" w:hint="cs"/>
          <w:noProof w:val="0"/>
          <w:sz w:val="24"/>
          <w:szCs w:val="24"/>
          <w:rtl/>
          <w:lang w:eastAsia="he-IL"/>
        </w:rPr>
        <w:t>י"ד בשבט התשע"ו</w:t>
      </w:r>
      <w:bookmarkEnd w:id="0"/>
    </w:p>
    <w:p w:rsidR="00952F74" w:rsidRPr="000E1E30" w:rsidRDefault="00952F74" w:rsidP="00952F74">
      <w:pPr>
        <w:jc w:val="right"/>
        <w:rPr>
          <w:rFonts w:ascii="Tahoma" w:hAnsi="Tahoma" w:cs="David"/>
          <w:noProof w:val="0"/>
          <w:rtl/>
          <w:lang w:eastAsia="he-IL"/>
        </w:rPr>
      </w:pPr>
      <w:bookmarkStart w:id="1" w:name="Eng_Date"/>
      <w:r>
        <w:rPr>
          <w:rFonts w:ascii="Tahoma" w:hAnsi="Tahoma" w:cs="David" w:hint="cs"/>
          <w:noProof w:val="0"/>
          <w:sz w:val="24"/>
          <w:szCs w:val="24"/>
          <w:rtl/>
          <w:lang w:eastAsia="he-IL"/>
        </w:rPr>
        <w:t>24 בינואר, 2016</w:t>
      </w:r>
      <w:bookmarkEnd w:id="1"/>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2" w:name="AGN_Num"/>
      <w:r>
        <w:rPr>
          <w:rFonts w:ascii="Tahoma" w:hAnsi="Tahoma" w:cs="David" w:hint="cs"/>
          <w:b/>
          <w:bCs/>
          <w:sz w:val="24"/>
          <w:szCs w:val="24"/>
          <w:u w:val="single"/>
          <w:rtl/>
        </w:rPr>
        <w:t>2573</w:t>
      </w:r>
      <w:bookmarkEnd w:id="2"/>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3" w:name="AGN_Yor_Name"/>
      <w:r>
        <w:rPr>
          <w:rFonts w:ascii="Tahoma" w:hAnsi="Tahoma" w:cs="David" w:hint="cs"/>
          <w:sz w:val="24"/>
          <w:szCs w:val="24"/>
          <w:rtl/>
        </w:rPr>
        <w:t>יולי יואל אדלשטיין</w:t>
      </w:r>
      <w:bookmarkEnd w:id="3"/>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4" w:name="AGN_Yor_Gender"/>
      <w:r>
        <w:rPr>
          <w:rFonts w:ascii="Tahoma" w:hAnsi="Tahoma" w:cs="David" w:hint="cs"/>
          <w:sz w:val="24"/>
          <w:szCs w:val="24"/>
          <w:rtl/>
        </w:rPr>
        <w:t>אדוני היושב ראש</w:t>
      </w:r>
      <w:bookmarkEnd w:id="4"/>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5" w:name="AGN_Type"/>
      <w:r>
        <w:rPr>
          <w:rFonts w:ascii="Tahoma" w:hAnsi="Tahoma" w:cs="David" w:hint="cs"/>
          <w:sz w:val="24"/>
          <w:szCs w:val="24"/>
          <w:rtl/>
        </w:rPr>
        <w:t>דיון מהיר</w:t>
      </w:r>
      <w:bookmarkEnd w:id="5"/>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6" w:name="AGN_Subject"/>
      <w:r>
        <w:rPr>
          <w:rFonts w:ascii="Tahoma" w:hAnsi="Tahoma" w:cs="David" w:hint="cs"/>
          <w:sz w:val="24"/>
          <w:szCs w:val="24"/>
          <w:u w:val="single"/>
          <w:rtl/>
        </w:rPr>
        <w:t>מצוקת המעבדות הרפואיות ומעבדות המחקר</w:t>
      </w:r>
      <w:bookmarkEnd w:id="6"/>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7" w:name="AGN_Description"/>
      <w:r>
        <w:rPr>
          <w:rFonts w:ascii="Tahoma" w:hAnsi="Tahoma" w:cs="David" w:hint="cs"/>
          <w:sz w:val="24"/>
          <w:szCs w:val="24"/>
          <w:rtl/>
        </w:rPr>
        <w:t>עובדי המעבדות עומדים בחזית מערך הבריאות ויש להם חלק קריטי ברפואה ובמחקר בישראל. תפקוד לקוי של המעבדות עלול לגרום לסיכון חיי אדם ולפגיעה בטיפול הרפואי. עם זאת, המעבדות נמצאות במצב עגום: בשנת 2015 פרשו כ-25% מהעובדים לגמלאות ו-25% נוספים עשוי לפרוש בשנים הקרובות; מאז הסכם השכר בשנת 1995, שכר עובדי המעבדה נשחק בכ-70%; 7% בלבד מעובדי המעבדות הם צעירים בשנות ה- 30 אשר מסרבים להיקלט כעובדים בשל שחיקת השכר ומעמד המקצוע וכן, אין תקינה או תוכנית להכשיר דור צעיר.</w:t>
      </w:r>
      <w:r>
        <w:br/>
      </w:r>
      <w:r>
        <w:rPr>
          <w:rFonts w:ascii="Tahoma" w:hAnsi="Tahoma" w:cs="David" w:hint="cs"/>
          <w:sz w:val="24"/>
          <w:szCs w:val="24"/>
          <w:rtl/>
        </w:rPr>
        <w:t>למעבדות היה חלק מכריע במיגור נגיף הפוליו שחדר לשטחי ישראל וכך גם כיום במקרי השפעת, הסלמונלה והאבולה.</w:t>
      </w:r>
      <w:r>
        <w:br/>
      </w:r>
      <w:r>
        <w:rPr>
          <w:rFonts w:ascii="Tahoma" w:hAnsi="Tahoma" w:cs="David" w:hint="cs"/>
          <w:sz w:val="24"/>
          <w:szCs w:val="24"/>
          <w:rtl/>
        </w:rPr>
        <w:t>חשוב לדון בעניין בוועדת העבודה, רווחה ובריאות ולמצוא פתרונות לבעיות והעיוותים במנגנון העסקה והכשרת עובדי המעבדה.</w:t>
      </w:r>
      <w:bookmarkEnd w:id="7"/>
    </w:p>
    <w:p w:rsidR="00952F74" w:rsidRDefault="00952F74" w:rsidP="00952F74">
      <w:pPr>
        <w:pStyle w:val="9"/>
        <w:jc w:val="right"/>
        <w:rPr>
          <w:rFonts w:cs="David"/>
          <w:sz w:val="24"/>
          <w:szCs w:val="24"/>
          <w:rtl/>
        </w:rPr>
      </w:pPr>
    </w:p>
    <w:p w:rsidR="00952F74" w:rsidRPr="00035C14" w:rsidRDefault="00952F74" w:rsidP="00952F74">
      <w:pPr>
        <w:rPr>
          <w:rtl/>
        </w:rPr>
      </w:pPr>
    </w:p>
    <w:p w:rsidR="00952F74" w:rsidRDefault="00952F74" w:rsidP="00952F74">
      <w:pPr>
        <w:pStyle w:val="9"/>
        <w:jc w:val="right"/>
        <w:rPr>
          <w:rFonts w:cs="David"/>
          <w:sz w:val="24"/>
          <w:szCs w:val="24"/>
          <w:rtl/>
        </w:rPr>
      </w:pPr>
    </w:p>
    <w:p w:rsidR="00952F74" w:rsidRDefault="00952F74" w:rsidP="00952F74">
      <w:pPr>
        <w:pStyle w:val="9"/>
        <w:jc w:val="right"/>
        <w:rPr>
          <w:rFonts w:cs="David"/>
          <w:sz w:val="24"/>
          <w:szCs w:val="24"/>
          <w:rtl/>
        </w:rPr>
      </w:pPr>
    </w:p>
    <w:p w:rsidR="00952F74" w:rsidRDefault="00952F74" w:rsidP="00952F74">
      <w:pPr>
        <w:pStyle w:val="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8" w:name="PM_Gender"/>
      <w:r>
        <w:rPr>
          <w:rFonts w:cs="David" w:hint="cs"/>
          <w:sz w:val="24"/>
          <w:szCs w:val="24"/>
          <w:rtl/>
        </w:rPr>
        <w:t>חברת הכנסת</w:t>
      </w:r>
      <w:bookmarkEnd w:id="8"/>
      <w:r>
        <w:rPr>
          <w:rFonts w:cs="David" w:hint="cs"/>
          <w:sz w:val="24"/>
          <w:szCs w:val="24"/>
          <w:rtl/>
        </w:rPr>
        <w:t xml:space="preserve"> </w:t>
      </w:r>
      <w:bookmarkStart w:id="9" w:name="PM_Name"/>
      <w:r>
        <w:rPr>
          <w:rFonts w:cs="David" w:hint="cs"/>
          <w:sz w:val="24"/>
          <w:szCs w:val="24"/>
          <w:rtl/>
        </w:rPr>
        <w:t>יעל גרמן</w:t>
      </w:r>
      <w:bookmarkEnd w:id="9"/>
    </w:p>
    <w:p w:rsidR="00952F74" w:rsidRPr="00334667" w:rsidRDefault="00952F74" w:rsidP="00952F74">
      <w:pPr>
        <w:bidi w:val="0"/>
        <w:rPr>
          <w:rFonts w:ascii="Tahoma" w:hAnsi="Tahoma" w:cs="David"/>
        </w:rPr>
      </w:pPr>
    </w:p>
    <w:p w:rsidR="00952F74" w:rsidRPr="00334667" w:rsidRDefault="00952F74" w:rsidP="00952F74">
      <w:pPr>
        <w:pStyle w:val="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224E"/>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E5B8DFCE-44FB-4CF3-9174-774994198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772</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574978</vt:r8>
  </property>
</Properties>
</file>