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566005</w:t>
      </w:r>
      <w:bookmarkEnd w:id="0"/>
    </w:p>
    <w:p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:rsidR="00904591" w:rsidRPr="00904591" w:rsidRDefault="008F6665" w:rsidP="006F6F49">
      <w:pPr>
        <w:pStyle w:val="David"/>
        <w:spacing w:line="360" w:lineRule="auto"/>
        <w:ind w:left="720" w:firstLine="720"/>
        <w:rPr>
          <w:sz w:val="4"/>
          <w:szCs w:val="4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מירב בן ארי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מיכל רוזין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רועי פולקמן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אברהם נגוסה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יעקב מרגי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איילת נחמיאס ורבין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יואב קיש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דוד ביטן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רוברט אילטוב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ענת ברקו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קארין אלהרר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יעקב פרי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טלי פלוסקוב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תמר זנדברג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מסעוד גנאים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יצחק וקנין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טלב אבו עראר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ישראל אייכלר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tab/>
      </w:r>
      <w:r>
        <w:rPr>
          <w:rFonts w:hint="cs"/>
          <w:b/>
          <w:bCs/>
          <w:rtl/>
        </w:rPr>
        <w:t>דב חנין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יעל גרמן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חנין זועבי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אלי אלאלוף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רויטל סויד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רחל עזריה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אוסאמה סעדי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נורית קורן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דניאל עטר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אורי מקלב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עמר בר-לב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נאוה בוקר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אייל בן ראובן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 xml:space="preserve">אברהם </w:t>
      </w:r>
      <w:proofErr w:type="spellStart"/>
      <w:r w:rsidR="006F6F49">
        <w:rPr>
          <w:rFonts w:hint="cs"/>
          <w:b/>
          <w:bCs/>
          <w:rtl/>
        </w:rPr>
        <w:t>דיכטר</w:t>
      </w:r>
      <w:proofErr w:type="spellEnd"/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יוסי יונה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אלי כהן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איתן ברושי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סופה לנדבר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מאיר כהן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חיים ילין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עליזה לביא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עפר שלח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איימן עודה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שרון גל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proofErr w:type="spellStart"/>
      <w:r w:rsidR="006F6F49">
        <w:rPr>
          <w:rFonts w:hint="cs"/>
          <w:b/>
          <w:bCs/>
          <w:rtl/>
        </w:rPr>
        <w:t>מכלוף</w:t>
      </w:r>
      <w:proofErr w:type="spellEnd"/>
      <w:r w:rsidR="006F6F49">
        <w:rPr>
          <w:rFonts w:hint="cs"/>
          <w:b/>
          <w:bCs/>
          <w:rtl/>
        </w:rPr>
        <w:t xml:space="preserve"> מיקי זוהר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יפעת שאשא ביטון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עמיר פרץ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ינון מגל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יאיר לפיד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6F6F49">
        <w:rPr>
          <w:b/>
          <w:bCs/>
          <w:rtl/>
        </w:rPr>
        <w:tab/>
      </w:r>
      <w:r>
        <w:rPr>
          <w:rFonts w:hint="cs"/>
          <w:b/>
          <w:bCs/>
          <w:rtl/>
        </w:rPr>
        <w:t>מיכאל אורן</w:t>
      </w:r>
      <w:r w:rsidR="006F6F49" w:rsidRPr="006F6F49">
        <w:rPr>
          <w:rFonts w:hint="cs"/>
          <w:b/>
          <w:bCs/>
          <w:rtl/>
        </w:rPr>
        <w:t xml:space="preserve"> </w:t>
      </w:r>
      <w:r w:rsidR="006F6F49">
        <w:rPr>
          <w:b/>
          <w:bCs/>
          <w:rtl/>
        </w:rPr>
        <w:tab/>
      </w:r>
      <w:r w:rsidR="006F6F49">
        <w:rPr>
          <w:b/>
          <w:bCs/>
          <w:rtl/>
        </w:rPr>
        <w:tab/>
      </w:r>
      <w:r w:rsidR="006F6F49"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bookmarkEnd w:id="3"/>
      <w:r w:rsidR="00266D86">
        <w:t>_</w:t>
      </w:r>
      <w:r w:rsidR="00E374F2">
        <w:t>__</w:t>
      </w:r>
      <w:r w:rsidR="00266D86"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4" w:name="Private_Number"/>
      <w:r>
        <w:rPr>
          <w:rFonts w:hint="cs"/>
          <w:rtl/>
        </w:rPr>
        <w:t>פ/1987/20</w:t>
      </w:r>
      <w:bookmarkEnd w:id="4"/>
    </w:p>
    <w:p w:rsidR="00E13C27" w:rsidRPr="00F67051" w:rsidRDefault="00A443CF" w:rsidP="00472FBF">
      <w:pPr>
        <w:pStyle w:val="HeadHatzaotHok"/>
        <w:rPr>
          <w:rtl/>
        </w:rPr>
      </w:pPr>
      <w:bookmarkStart w:id="5" w:name="LGS_Subject"/>
      <w:r>
        <w:rPr>
          <w:rFonts w:hint="cs"/>
          <w:rtl/>
        </w:rPr>
        <w:t xml:space="preserve">הצעת חוק הביטוח הלאומי (תיקון </w:t>
      </w:r>
      <w:r w:rsidR="00472FBF" w:rsidRPr="003E0C87">
        <w:rPr>
          <w:rtl/>
        </w:rPr>
        <w:t>–</w:t>
      </w:r>
      <w:r w:rsidR="00472FBF">
        <w:rPr>
          <w:rFonts w:hint="cs"/>
          <w:rtl/>
        </w:rPr>
        <w:t xml:space="preserve"> </w:t>
      </w:r>
      <w:r>
        <w:rPr>
          <w:rFonts w:hint="cs"/>
          <w:rtl/>
        </w:rPr>
        <w:t xml:space="preserve">הרחבת מעגל הזכאים למענק לימודים), </w:t>
      </w:r>
      <w:proofErr w:type="spellStart"/>
      <w:r>
        <w:rPr>
          <w:rFonts w:hint="cs"/>
          <w:rtl/>
        </w:rPr>
        <w:t>התשע"ה</w:t>
      </w:r>
      <w:proofErr w:type="spellEnd"/>
      <w:r w:rsidR="00472FBF" w:rsidRPr="003E0C87">
        <w:rPr>
          <w:rtl/>
        </w:rPr>
        <w:t>–</w:t>
      </w:r>
      <w:r>
        <w:rPr>
          <w:rFonts w:hint="cs"/>
          <w:rtl/>
        </w:rPr>
        <w:t>2015</w:t>
      </w:r>
      <w:bookmarkEnd w:id="5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7144"/>
      </w:tblGrid>
      <w:tr w:rsidR="00472FBF" w:rsidRPr="00C34DE2" w:rsidTr="001360B8">
        <w:trPr>
          <w:cantSplit/>
        </w:trPr>
        <w:tc>
          <w:tcPr>
            <w:tcW w:w="1870" w:type="dxa"/>
          </w:tcPr>
          <w:p w:rsidR="00472FBF" w:rsidRDefault="00472FBF" w:rsidP="00472FBF">
            <w:pPr>
              <w:pStyle w:val="TableSideHeading"/>
              <w:ind w:right="0"/>
            </w:pPr>
            <w:r>
              <w:rPr>
                <w:rFonts w:hint="cs"/>
                <w:rtl/>
              </w:rPr>
              <w:t>תיקון סעיף 74</w:t>
            </w:r>
          </w:p>
        </w:tc>
        <w:tc>
          <w:tcPr>
            <w:tcW w:w="624" w:type="dxa"/>
          </w:tcPr>
          <w:p w:rsidR="00472FBF" w:rsidRDefault="00472FBF" w:rsidP="00472FBF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</w:tcPr>
          <w:p w:rsidR="00472FBF" w:rsidRPr="00C34DE2" w:rsidRDefault="00472FBF" w:rsidP="001360B8">
            <w:pPr>
              <w:pStyle w:val="TableBlock"/>
            </w:pPr>
            <w:r>
              <w:rPr>
                <w:rFonts w:hint="cs"/>
                <w:rtl/>
              </w:rPr>
              <w:t xml:space="preserve">בחוק הביטוח הלאומי [נוסח משולב], </w:t>
            </w:r>
            <w:proofErr w:type="spellStart"/>
            <w:r>
              <w:rPr>
                <w:rFonts w:hint="cs"/>
                <w:rtl/>
              </w:rPr>
              <w:t>התשנ"ה</w:t>
            </w:r>
            <w:proofErr w:type="spellEnd"/>
            <w:r w:rsidRPr="003E0C87">
              <w:rPr>
                <w:rtl/>
              </w:rPr>
              <w:t>–</w:t>
            </w:r>
            <w:r>
              <w:rPr>
                <w:rFonts w:hint="cs"/>
                <w:rtl/>
              </w:rPr>
              <w:t>1995</w:t>
            </w:r>
            <w:r>
              <w:rPr>
                <w:rStyle w:val="a5"/>
                <w:rtl/>
              </w:rPr>
              <w:footnoteReference w:id="2"/>
            </w:r>
            <w:r>
              <w:rPr>
                <w:rFonts w:hint="cs"/>
                <w:rtl/>
              </w:rPr>
              <w:t>, בסעיף 74(ב)</w:t>
            </w:r>
            <w:r w:rsidR="001360B8">
              <w:rPr>
                <w:rFonts w:hint="cs"/>
                <w:rtl/>
              </w:rPr>
              <w:t>(2), אחרי פסקת משנה (ב) יבוא:</w:t>
            </w:r>
          </w:p>
        </w:tc>
      </w:tr>
      <w:tr w:rsidR="000400C6" w:rsidTr="00506ACF">
        <w:trPr>
          <w:cantSplit/>
          <w:trHeight w:val="60"/>
        </w:trPr>
        <w:tc>
          <w:tcPr>
            <w:tcW w:w="1870" w:type="dxa"/>
          </w:tcPr>
          <w:p w:rsidR="000400C6" w:rsidRDefault="000400C6">
            <w:pPr>
              <w:pStyle w:val="TableSideHeading"/>
            </w:pPr>
          </w:p>
        </w:tc>
        <w:tc>
          <w:tcPr>
            <w:tcW w:w="624" w:type="dxa"/>
          </w:tcPr>
          <w:p w:rsidR="000400C6" w:rsidRDefault="000400C6">
            <w:pPr>
              <w:pStyle w:val="TableText"/>
            </w:pPr>
          </w:p>
        </w:tc>
        <w:tc>
          <w:tcPr>
            <w:tcW w:w="7144" w:type="dxa"/>
          </w:tcPr>
          <w:p w:rsidR="000400C6" w:rsidRDefault="000400C6" w:rsidP="000400C6">
            <w:pPr>
              <w:pStyle w:val="TableBlock"/>
            </w:pPr>
            <w:r>
              <w:rPr>
                <w:rFonts w:hint="cs"/>
                <w:rtl/>
              </w:rPr>
              <w:t>"(ג)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5.5% מהסכום הבסיסי </w:t>
            </w:r>
            <w:r w:rsidRPr="003E0C87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בעד ילדו של הורה עצמאי שביום הקובע מלאו </w:t>
            </w:r>
            <w:r w:rsidR="006F6F49">
              <w:rPr>
                <w:rFonts w:hint="cs"/>
                <w:rtl/>
              </w:rPr>
              <w:t>לו 14 שנים ולא מלאו לו 18 שנים.</w:t>
            </w:r>
            <w:r>
              <w:rPr>
                <w:rFonts w:hint="cs"/>
                <w:rtl/>
              </w:rPr>
              <w:t>"</w:t>
            </w:r>
          </w:p>
        </w:tc>
      </w:tr>
      <w:tr w:rsidR="001360B8" w:rsidTr="00CB7EA4">
        <w:trPr>
          <w:cantSplit/>
        </w:trPr>
        <w:tc>
          <w:tcPr>
            <w:tcW w:w="1870" w:type="dxa"/>
          </w:tcPr>
          <w:p w:rsidR="001360B8" w:rsidRDefault="001360B8" w:rsidP="001360B8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>תחולה</w:t>
            </w:r>
          </w:p>
        </w:tc>
        <w:tc>
          <w:tcPr>
            <w:tcW w:w="624" w:type="dxa"/>
          </w:tcPr>
          <w:p w:rsidR="001360B8" w:rsidRDefault="001360B8" w:rsidP="0081434B">
            <w:pPr>
              <w:pStyle w:val="TableTex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4" w:type="dxa"/>
          </w:tcPr>
          <w:p w:rsidR="001360B8" w:rsidRDefault="001360B8" w:rsidP="005D783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הוראות חוק זה יחולו על מענק לימודים בעד שנת הלימודים שתחילתה ב-1 בספטמבר שלאחר תחילתו של חוק זה</w:t>
            </w:r>
            <w:r w:rsidRPr="0026732D">
              <w:rPr>
                <w:rFonts w:hint="cs"/>
                <w:rtl/>
              </w:rPr>
              <w:t>.</w:t>
            </w:r>
            <w:r>
              <w:rPr>
                <w:rFonts w:asciiTheme="minorHAnsi" w:eastAsiaTheme="minorHAnsi" w:hAnsiTheme="minorHAnsi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hint="cs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="0026732D" w:rsidRPr="000400C6" w:rsidRDefault="0026732D" w:rsidP="000400C6">
      <w:pPr>
        <w:pStyle w:val="Hesber"/>
      </w:pPr>
      <w:r w:rsidRPr="000400C6">
        <w:rPr>
          <w:rFonts w:hint="cs"/>
          <w:rtl/>
        </w:rPr>
        <w:t>ב</w:t>
      </w:r>
      <w:r w:rsidR="00472FBF" w:rsidRPr="000400C6">
        <w:rPr>
          <w:rFonts w:hint="cs"/>
          <w:rtl/>
        </w:rPr>
        <w:t>סעיף 74 ל</w:t>
      </w:r>
      <w:r w:rsidRPr="000400C6">
        <w:rPr>
          <w:rFonts w:hint="cs"/>
          <w:rtl/>
        </w:rPr>
        <w:t>חוק הביטוח הלאומי</w:t>
      </w:r>
      <w:r w:rsidR="00472FBF" w:rsidRPr="000400C6">
        <w:rPr>
          <w:rFonts w:hint="cs"/>
          <w:rtl/>
        </w:rPr>
        <w:t xml:space="preserve"> [נוסח משולב], </w:t>
      </w:r>
      <w:proofErr w:type="spellStart"/>
      <w:r w:rsidR="00472FBF" w:rsidRPr="000400C6">
        <w:rPr>
          <w:rFonts w:hint="cs"/>
          <w:rtl/>
        </w:rPr>
        <w:t>התשנ"ה</w:t>
      </w:r>
      <w:proofErr w:type="spellEnd"/>
      <w:r w:rsidR="00472FBF" w:rsidRPr="000400C6">
        <w:rPr>
          <w:rtl/>
        </w:rPr>
        <w:t>–</w:t>
      </w:r>
      <w:r w:rsidR="00472FBF" w:rsidRPr="000400C6">
        <w:rPr>
          <w:rFonts w:hint="cs"/>
          <w:rtl/>
        </w:rPr>
        <w:t>1995</w:t>
      </w:r>
      <w:r w:rsidR="006F6F49">
        <w:rPr>
          <w:rFonts w:hint="cs"/>
          <w:rtl/>
        </w:rPr>
        <w:t xml:space="preserve">, </w:t>
      </w:r>
      <w:r w:rsidR="00472FBF" w:rsidRPr="000400C6">
        <w:rPr>
          <w:rFonts w:hint="cs"/>
          <w:rtl/>
        </w:rPr>
        <w:t xml:space="preserve">קבועה </w:t>
      </w:r>
      <w:r w:rsidRPr="000400C6">
        <w:rPr>
          <w:rFonts w:hint="cs"/>
          <w:rtl/>
        </w:rPr>
        <w:t>זכאות לקבלת מענק לימודים, עבור הורים לילדים בגילאי 6 עד 14 שנה, בהתאם לתנאים המוגדרים בחוק (הורה יחיד, הורה הזכאי לקצבת הבטחת הכנסה וכדומה).</w:t>
      </w:r>
    </w:p>
    <w:p w:rsidR="0026732D" w:rsidRPr="000400C6" w:rsidRDefault="0026732D" w:rsidP="000400C6">
      <w:pPr>
        <w:pStyle w:val="Hesber"/>
        <w:rPr>
          <w:rtl/>
        </w:rPr>
      </w:pPr>
      <w:r w:rsidRPr="000400C6">
        <w:rPr>
          <w:rFonts w:hint="cs"/>
          <w:rtl/>
        </w:rPr>
        <w:t>סכום המענק נקבע בהתאם לגיל הילד, כאחוז מהסכום הבסיסי (כ8,</w:t>
      </w:r>
      <w:r w:rsidR="006357DC" w:rsidRPr="000400C6">
        <w:rPr>
          <w:rFonts w:hint="cs"/>
          <w:rtl/>
        </w:rPr>
        <w:t>5</w:t>
      </w:r>
      <w:r w:rsidRPr="000400C6">
        <w:rPr>
          <w:rFonts w:hint="cs"/>
          <w:rtl/>
        </w:rPr>
        <w:t>00 שקלים חדשים):</w:t>
      </w:r>
    </w:p>
    <w:p w:rsidR="0026732D" w:rsidRPr="000400C6" w:rsidRDefault="0026732D" w:rsidP="000400C6">
      <w:pPr>
        <w:pStyle w:val="Hesber"/>
        <w:rPr>
          <w:rtl/>
        </w:rPr>
      </w:pPr>
      <w:r w:rsidRPr="000400C6">
        <w:rPr>
          <w:rFonts w:hint="cs"/>
          <w:rtl/>
        </w:rPr>
        <w:t xml:space="preserve">עבור גילאי 6 עד 11 - 18% מהסכום הבסיסי (כ-1,528 </w:t>
      </w:r>
      <w:r w:rsidR="000400C6" w:rsidRPr="000400C6">
        <w:rPr>
          <w:rFonts w:hint="cs"/>
          <w:rtl/>
        </w:rPr>
        <w:t>שקלים חדשים</w:t>
      </w:r>
      <w:r w:rsidRPr="000400C6">
        <w:rPr>
          <w:rFonts w:hint="cs"/>
          <w:rtl/>
        </w:rPr>
        <w:t>).</w:t>
      </w:r>
    </w:p>
    <w:p w:rsidR="0026732D" w:rsidRPr="000400C6" w:rsidRDefault="0026732D" w:rsidP="000400C6">
      <w:pPr>
        <w:pStyle w:val="Hesber"/>
        <w:rPr>
          <w:rtl/>
        </w:rPr>
      </w:pPr>
      <w:r w:rsidRPr="000400C6">
        <w:rPr>
          <w:rFonts w:hint="cs"/>
          <w:rtl/>
        </w:rPr>
        <w:t xml:space="preserve">עבור גילאי 11 עד 14 - 10% מהסכום הבסיסי (כ-849 </w:t>
      </w:r>
      <w:r w:rsidR="000400C6" w:rsidRPr="000400C6">
        <w:rPr>
          <w:rFonts w:hint="cs"/>
          <w:rtl/>
        </w:rPr>
        <w:t>שקלים ח</w:t>
      </w:r>
      <w:r w:rsidR="006F6F49">
        <w:rPr>
          <w:rFonts w:hint="cs"/>
          <w:rtl/>
        </w:rPr>
        <w:t>ד</w:t>
      </w:r>
      <w:r w:rsidR="000400C6" w:rsidRPr="000400C6">
        <w:rPr>
          <w:rFonts w:hint="cs"/>
          <w:rtl/>
        </w:rPr>
        <w:t>שים</w:t>
      </w:r>
      <w:r w:rsidRPr="000400C6">
        <w:rPr>
          <w:rFonts w:hint="cs"/>
          <w:rtl/>
        </w:rPr>
        <w:t>).</w:t>
      </w:r>
    </w:p>
    <w:p w:rsidR="0026732D" w:rsidRPr="000400C6" w:rsidRDefault="001360B8" w:rsidP="000400C6">
      <w:pPr>
        <w:pStyle w:val="Hesber"/>
        <w:rPr>
          <w:rtl/>
        </w:rPr>
      </w:pPr>
      <w:r w:rsidRPr="000400C6">
        <w:rPr>
          <w:rFonts w:hint="cs"/>
          <w:rtl/>
        </w:rPr>
        <w:t xml:space="preserve">ההגבלה לטווח גילאים זה </w:t>
      </w:r>
      <w:r w:rsidR="0026732D" w:rsidRPr="000400C6">
        <w:rPr>
          <w:rFonts w:hint="cs"/>
          <w:rtl/>
        </w:rPr>
        <w:t>אינ</w:t>
      </w:r>
      <w:r w:rsidRPr="000400C6">
        <w:rPr>
          <w:rFonts w:hint="cs"/>
          <w:rtl/>
        </w:rPr>
        <w:t>ה</w:t>
      </w:r>
      <w:r w:rsidR="0026732D" w:rsidRPr="000400C6">
        <w:rPr>
          <w:rFonts w:hint="cs"/>
          <w:rtl/>
        </w:rPr>
        <w:t xml:space="preserve"> שוויוני</w:t>
      </w:r>
      <w:r w:rsidRPr="000400C6">
        <w:rPr>
          <w:rFonts w:hint="cs"/>
          <w:rtl/>
        </w:rPr>
        <w:t>ת</w:t>
      </w:r>
      <w:r w:rsidR="006F6F49">
        <w:rPr>
          <w:rFonts w:hint="cs"/>
          <w:rtl/>
        </w:rPr>
        <w:t>, מאחר ש</w:t>
      </w:r>
      <w:r w:rsidR="0026732D" w:rsidRPr="000400C6">
        <w:rPr>
          <w:rFonts w:hint="cs"/>
          <w:rtl/>
        </w:rPr>
        <w:t>המענק אינו ניתן עבור ילדים מגיל 14 עד 18, חרף העובדה שהוצאות הלימודים עולות מדי שנה, בעיקר בשנות התיכון.</w:t>
      </w:r>
      <w:r w:rsidR="00DB5E75" w:rsidRPr="000400C6">
        <w:rPr>
          <w:rFonts w:hint="cs"/>
          <w:rtl/>
        </w:rPr>
        <w:t xml:space="preserve"> לפיכך </w:t>
      </w:r>
      <w:r w:rsidR="0026732D" w:rsidRPr="000400C6">
        <w:rPr>
          <w:rFonts w:hint="cs"/>
          <w:rtl/>
        </w:rPr>
        <w:t xml:space="preserve">מוצע לתקן את המצב הקיים ולאפשר מתן המענק גם </w:t>
      </w:r>
      <w:r w:rsidR="00DB5E75" w:rsidRPr="000400C6">
        <w:rPr>
          <w:rFonts w:hint="cs"/>
          <w:rtl/>
        </w:rPr>
        <w:t xml:space="preserve">בעד </w:t>
      </w:r>
      <w:r w:rsidR="0026732D" w:rsidRPr="000400C6">
        <w:rPr>
          <w:rFonts w:hint="cs"/>
          <w:rtl/>
        </w:rPr>
        <w:t>ילדים בגילאי 14 עד 18</w:t>
      </w:r>
      <w:r w:rsidR="00DB5E75" w:rsidRPr="000400C6">
        <w:rPr>
          <w:rFonts w:hint="cs"/>
          <w:rtl/>
        </w:rPr>
        <w:t xml:space="preserve">, </w:t>
      </w:r>
      <w:r w:rsidR="0026732D" w:rsidRPr="000400C6">
        <w:rPr>
          <w:rFonts w:hint="cs"/>
          <w:rtl/>
        </w:rPr>
        <w:t xml:space="preserve">בשיעור של </w:t>
      </w:r>
      <w:r w:rsidR="0012577B" w:rsidRPr="000400C6">
        <w:rPr>
          <w:rFonts w:hint="cs"/>
          <w:rtl/>
        </w:rPr>
        <w:t>5.5</w:t>
      </w:r>
      <w:r w:rsidR="0026732D" w:rsidRPr="000400C6">
        <w:rPr>
          <w:rFonts w:hint="cs"/>
          <w:rtl/>
        </w:rPr>
        <w:t>% מהסכום הבסיסי</w:t>
      </w:r>
      <w:r w:rsidR="00DB5E75" w:rsidRPr="000400C6">
        <w:rPr>
          <w:rFonts w:hint="cs"/>
          <w:rtl/>
        </w:rPr>
        <w:t>, ובלבד שהם ילדים של הורה עצמאי.</w:t>
      </w:r>
    </w:p>
    <w:p w:rsidR="0026732D" w:rsidRDefault="0026732D" w:rsidP="000400C6">
      <w:pPr>
        <w:pStyle w:val="Hesber"/>
        <w:rPr>
          <w:rtl/>
        </w:rPr>
      </w:pPr>
      <w:r w:rsidRPr="000400C6">
        <w:rPr>
          <w:rFonts w:hint="cs"/>
          <w:rtl/>
        </w:rPr>
        <w:t xml:space="preserve">מוצע להחיל את התיקון האמור החל משנת הלימודים העוקבת לשנת הלימודים </w:t>
      </w:r>
      <w:r w:rsidR="00DB5E75" w:rsidRPr="000400C6">
        <w:rPr>
          <w:rFonts w:hint="cs"/>
          <w:rtl/>
        </w:rPr>
        <w:t>ש</w:t>
      </w:r>
      <w:r w:rsidRPr="000400C6">
        <w:rPr>
          <w:rFonts w:hint="cs"/>
          <w:rtl/>
        </w:rPr>
        <w:t>במהלכה יתקבל התיקון לחוק.</w:t>
      </w:r>
    </w:p>
    <w:p w:rsidR="006F6F49" w:rsidRDefault="006F6F49" w:rsidP="000400C6">
      <w:pPr>
        <w:pStyle w:val="Hesber"/>
        <w:rPr>
          <w:rtl/>
        </w:rPr>
      </w:pPr>
    </w:p>
    <w:p w:rsidR="006F6F49" w:rsidRDefault="006F6F49" w:rsidP="000400C6">
      <w:pPr>
        <w:pStyle w:val="Hesber"/>
        <w:rPr>
          <w:rtl/>
        </w:rPr>
      </w:pPr>
    </w:p>
    <w:p w:rsidR="006F6F49" w:rsidRPr="000400C6" w:rsidRDefault="006F6F49" w:rsidP="000400C6">
      <w:pPr>
        <w:pStyle w:val="Hesber"/>
        <w:rPr>
          <w:rtl/>
        </w:rPr>
      </w:pPr>
    </w:p>
    <w:p w:rsidR="000400C6" w:rsidRPr="00557D2C" w:rsidRDefault="000400C6" w:rsidP="008D1E08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:rsidR="000400C6" w:rsidRPr="00557D2C" w:rsidRDefault="000400C6" w:rsidP="008D1E08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:rsidR="000400C6" w:rsidRPr="00557D2C" w:rsidRDefault="000400C6" w:rsidP="008D1E08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:rsidR="00E13C27" w:rsidRPr="000400C6" w:rsidRDefault="000400C6" w:rsidP="000400C6">
      <w:pPr>
        <w:pStyle w:val="Hesber"/>
        <w:rPr>
          <w:rtl/>
        </w:rPr>
      </w:pPr>
      <w:r>
        <w:rPr>
          <w:rFonts w:hint="cs"/>
          <w:rtl/>
        </w:rPr>
        <w:t>י"ג</w:t>
      </w:r>
      <w:r w:rsidRPr="00557D2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באב </w:t>
      </w:r>
      <w:proofErr w:type="spellStart"/>
      <w:r w:rsidRPr="00557D2C">
        <w:rPr>
          <w:rFonts w:hint="cs"/>
          <w:rtl/>
        </w:rPr>
        <w:t>התשע"ה</w:t>
      </w:r>
      <w:proofErr w:type="spellEnd"/>
      <w:r w:rsidRPr="00557D2C">
        <w:rPr>
          <w:rFonts w:hint="cs"/>
          <w:rtl/>
        </w:rPr>
        <w:t xml:space="preserve"> </w:t>
      </w:r>
      <w:r w:rsidRPr="00557D2C">
        <w:rPr>
          <w:rtl/>
        </w:rPr>
        <w:t>–</w:t>
      </w:r>
      <w:r>
        <w:rPr>
          <w:rFonts w:hint="cs"/>
          <w:rtl/>
        </w:rPr>
        <w:t xml:space="preserve"> 29.7.15</w:t>
      </w:r>
    </w:p>
    <w:sectPr w:rsidR="00E13C27" w:rsidRPr="000400C6" w:rsidSect="00F8245F">
      <w:footerReference w:type="even" r:id="rId12"/>
      <w:footerReference w:type="default" r:id="rId13"/>
      <w:pgSz w:w="11907" w:h="16840" w:code="9"/>
      <w:pgMar w:top="1134" w:right="1134" w:bottom="709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6E" w:rsidRDefault="00A41A6E">
      <w:r>
        <w:separator/>
      </w:r>
    </w:p>
  </w:endnote>
  <w:endnote w:type="continuationSeparator" w:id="0">
    <w:p w:rsidR="00A41A6E" w:rsidRDefault="00A41A6E">
      <w:r>
        <w:continuationSeparator/>
      </w:r>
    </w:p>
  </w:endnote>
  <w:endnote w:type="continuationNotice" w:id="1">
    <w:p w:rsidR="00A41A6E" w:rsidRDefault="00A41A6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7A7D41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6E" w:rsidRDefault="00A41A6E">
      <w:r>
        <w:separator/>
      </w:r>
    </w:p>
  </w:footnote>
  <w:footnote w:type="continuationSeparator" w:id="0">
    <w:p w:rsidR="00A41A6E" w:rsidRDefault="00A41A6E">
      <w:r>
        <w:continuationSeparator/>
      </w:r>
    </w:p>
  </w:footnote>
  <w:footnote w:type="continuationNotice" w:id="1">
    <w:p w:rsidR="00A41A6E" w:rsidRDefault="00A41A6E"/>
  </w:footnote>
  <w:footnote w:id="2">
    <w:p w:rsidR="00472FBF" w:rsidRDefault="00472FBF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התשנ"ה</w:t>
      </w:r>
      <w:proofErr w:type="spellEnd"/>
      <w:r>
        <w:rPr>
          <w:rFonts w:hint="cs"/>
          <w:rtl/>
        </w:rPr>
        <w:t>, עמ'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E4204"/>
    <w:multiLevelType w:val="hybridMultilevel"/>
    <w:tmpl w:val="9AAEA55E"/>
    <w:lvl w:ilvl="0" w:tplc="38BA8ACE">
      <w:start w:val="1"/>
      <w:numFmt w:val="decimal"/>
      <w:lvlText w:val="(%1.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06F25"/>
    <w:rsid w:val="00015B27"/>
    <w:rsid w:val="000400C6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577B"/>
    <w:rsid w:val="001279A8"/>
    <w:rsid w:val="001360B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6732D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53E8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72FBF"/>
    <w:rsid w:val="004A06DC"/>
    <w:rsid w:val="004B24ED"/>
    <w:rsid w:val="004B3665"/>
    <w:rsid w:val="004B6625"/>
    <w:rsid w:val="004D2D82"/>
    <w:rsid w:val="004D3876"/>
    <w:rsid w:val="004E4552"/>
    <w:rsid w:val="004E6CDF"/>
    <w:rsid w:val="0050240D"/>
    <w:rsid w:val="00510BAD"/>
    <w:rsid w:val="00553C9D"/>
    <w:rsid w:val="00562A66"/>
    <w:rsid w:val="005B064E"/>
    <w:rsid w:val="005D51AE"/>
    <w:rsid w:val="005D7839"/>
    <w:rsid w:val="0062674B"/>
    <w:rsid w:val="006357DC"/>
    <w:rsid w:val="006363B2"/>
    <w:rsid w:val="00644940"/>
    <w:rsid w:val="006818A9"/>
    <w:rsid w:val="006A2D81"/>
    <w:rsid w:val="006C1D0D"/>
    <w:rsid w:val="006F6F49"/>
    <w:rsid w:val="0070601E"/>
    <w:rsid w:val="00712C72"/>
    <w:rsid w:val="00735FE9"/>
    <w:rsid w:val="00763CAA"/>
    <w:rsid w:val="00765F66"/>
    <w:rsid w:val="0078664F"/>
    <w:rsid w:val="007A7D41"/>
    <w:rsid w:val="007B4AEB"/>
    <w:rsid w:val="007C3FA6"/>
    <w:rsid w:val="007D585A"/>
    <w:rsid w:val="007D5A12"/>
    <w:rsid w:val="007E59F9"/>
    <w:rsid w:val="00810BCD"/>
    <w:rsid w:val="00812C98"/>
    <w:rsid w:val="0081434B"/>
    <w:rsid w:val="00814D92"/>
    <w:rsid w:val="0083181D"/>
    <w:rsid w:val="00843EB2"/>
    <w:rsid w:val="00865572"/>
    <w:rsid w:val="00874BBC"/>
    <w:rsid w:val="008876DD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8F6A67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C2847"/>
    <w:rsid w:val="009D6E0A"/>
    <w:rsid w:val="009E1E33"/>
    <w:rsid w:val="00A14672"/>
    <w:rsid w:val="00A26BD6"/>
    <w:rsid w:val="00A41A6E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8720C"/>
    <w:rsid w:val="00C9176A"/>
    <w:rsid w:val="00CF1AA2"/>
    <w:rsid w:val="00D17774"/>
    <w:rsid w:val="00D63620"/>
    <w:rsid w:val="00D8410D"/>
    <w:rsid w:val="00D867D7"/>
    <w:rsid w:val="00DB5E75"/>
    <w:rsid w:val="00DB7060"/>
    <w:rsid w:val="00DD1B30"/>
    <w:rsid w:val="00DE3153"/>
    <w:rsid w:val="00DE57CD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01063"/>
    <w:rsid w:val="00F11403"/>
    <w:rsid w:val="00F628D6"/>
    <w:rsid w:val="00F67051"/>
    <w:rsid w:val="00F8245F"/>
    <w:rsid w:val="00F86A1E"/>
    <w:rsid w:val="00FA5E88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2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26732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26732D"/>
    <w:rPr>
      <w:sz w:val="36"/>
      <w:szCs w:val="52"/>
    </w:rPr>
  </w:style>
  <w:style w:type="paragraph" w:customStyle="1" w:styleId="Cover3-Haknesset">
    <w:name w:val="Cover 3-Haknesset"/>
    <w:basedOn w:val="Cover1-Reshumot"/>
    <w:rsid w:val="0026732D"/>
    <w:rPr>
      <w:b/>
      <w:bCs/>
      <w:spacing w:val="60"/>
    </w:rPr>
  </w:style>
  <w:style w:type="paragraph" w:customStyle="1" w:styleId="Cover4-Date">
    <w:name w:val="Cover 4-Date"/>
    <w:basedOn w:val="a"/>
    <w:rsid w:val="0026732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26732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26732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26732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26732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26732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26732D"/>
  </w:style>
  <w:style w:type="paragraph" w:customStyle="1" w:styleId="TableBlock">
    <w:name w:val="Table Block"/>
    <w:basedOn w:val="TableText"/>
    <w:rsid w:val="0026732D"/>
    <w:pPr>
      <w:ind w:right="0"/>
      <w:jc w:val="both"/>
    </w:pPr>
  </w:style>
  <w:style w:type="paragraph" w:customStyle="1" w:styleId="TableHead">
    <w:name w:val="Table Head"/>
    <w:basedOn w:val="TableText"/>
    <w:rsid w:val="0026732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26732D"/>
  </w:style>
  <w:style w:type="paragraph" w:customStyle="1" w:styleId="Hesber">
    <w:name w:val="Hesber"/>
    <w:basedOn w:val="a"/>
    <w:rsid w:val="0026732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26732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26732D"/>
    <w:rPr>
      <w:vertAlign w:val="superscript"/>
    </w:rPr>
  </w:style>
  <w:style w:type="paragraph" w:customStyle="1" w:styleId="HesberHeading">
    <w:name w:val="Hesber Heading"/>
    <w:basedOn w:val="Hesber"/>
    <w:rsid w:val="0026732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26732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26732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26732D"/>
    <w:rPr>
      <w:vertAlign w:val="superscript"/>
    </w:rPr>
  </w:style>
  <w:style w:type="paragraph" w:customStyle="1" w:styleId="TableBlockOutdent">
    <w:name w:val="Table BlockOutdent"/>
    <w:basedOn w:val="TableBlock"/>
    <w:rsid w:val="0026732D"/>
    <w:pPr>
      <w:ind w:left="624" w:hanging="624"/>
    </w:pPr>
  </w:style>
  <w:style w:type="paragraph" w:styleId="a7">
    <w:name w:val="header"/>
    <w:basedOn w:val="a"/>
    <w:rsid w:val="0026732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6732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26732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26732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26732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2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26732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26732D"/>
    <w:rPr>
      <w:sz w:val="36"/>
      <w:szCs w:val="52"/>
    </w:rPr>
  </w:style>
  <w:style w:type="paragraph" w:customStyle="1" w:styleId="Cover3-Haknesset">
    <w:name w:val="Cover 3-Haknesset"/>
    <w:basedOn w:val="Cover1-Reshumot"/>
    <w:rsid w:val="0026732D"/>
    <w:rPr>
      <w:b/>
      <w:bCs/>
      <w:spacing w:val="60"/>
    </w:rPr>
  </w:style>
  <w:style w:type="paragraph" w:customStyle="1" w:styleId="Cover4-Date">
    <w:name w:val="Cover 4-Date"/>
    <w:basedOn w:val="a"/>
    <w:rsid w:val="0026732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26732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26732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26732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26732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26732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26732D"/>
  </w:style>
  <w:style w:type="paragraph" w:customStyle="1" w:styleId="TableBlock">
    <w:name w:val="Table Block"/>
    <w:basedOn w:val="TableText"/>
    <w:rsid w:val="0026732D"/>
    <w:pPr>
      <w:ind w:right="0"/>
      <w:jc w:val="both"/>
    </w:pPr>
  </w:style>
  <w:style w:type="paragraph" w:customStyle="1" w:styleId="TableHead">
    <w:name w:val="Table Head"/>
    <w:basedOn w:val="TableText"/>
    <w:rsid w:val="0026732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26732D"/>
  </w:style>
  <w:style w:type="paragraph" w:customStyle="1" w:styleId="Hesber">
    <w:name w:val="Hesber"/>
    <w:basedOn w:val="a"/>
    <w:rsid w:val="0026732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26732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26732D"/>
    <w:rPr>
      <w:vertAlign w:val="superscript"/>
    </w:rPr>
  </w:style>
  <w:style w:type="paragraph" w:customStyle="1" w:styleId="HesberHeading">
    <w:name w:val="Hesber Heading"/>
    <w:basedOn w:val="Hesber"/>
    <w:rsid w:val="0026732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26732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26732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26732D"/>
    <w:rPr>
      <w:vertAlign w:val="superscript"/>
    </w:rPr>
  </w:style>
  <w:style w:type="paragraph" w:customStyle="1" w:styleId="TableBlockOutdent">
    <w:name w:val="Table BlockOutdent"/>
    <w:basedOn w:val="TableBlock"/>
    <w:rsid w:val="0026732D"/>
    <w:pPr>
      <w:ind w:left="624" w:hanging="624"/>
    </w:pPr>
  </w:style>
  <w:style w:type="paragraph" w:styleId="a7">
    <w:name w:val="header"/>
    <w:basedOn w:val="a"/>
    <w:rsid w:val="0026732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6732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26732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26732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26732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36728D-2F02-4956-91A0-BB1FCA7B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E353BA-6199-4871-8288-81D6D29A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370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14</cp:revision>
  <cp:lastPrinted>2015-07-27T13:53:00Z</cp:lastPrinted>
  <dcterms:created xsi:type="dcterms:W3CDTF">2015-04-20T09:58:00Z</dcterms:created>
  <dcterms:modified xsi:type="dcterms:W3CDTF">2015-07-27T13:53:00Z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566005</vt:r8>
  </property>
</Properties>
</file>