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wps="http://schemas.microsoft.com/office/word/2010/wordprocessingShape" xmlns:a14="http://schemas.microsoft.com/office/drawing/2010/main" xmlns:v="urn:schemas-microsoft-com:vml" xmlns:o="urn:schemas-microsoft-com:office:office" xmlns:r="http://schemas.openxmlformats.org/officeDocument/2006/relationships" xmlns:mc="http://schemas.openxmlformats.org/markup-compatibility/2006" xmlns:w="http://schemas.openxmlformats.org/wordprocessingml/2006/main" mc:Ignorable="w14 wp14">
  <w:body>
    <w:p w:rsidRPr="0000131B" w:rsidR="002C2E29" w:rsidP="00A443CF" w:rsidRDefault="004033D8" w14:paraId="7F6961A1" w14:textId="77777777">
      <w:pPr>
        <w:pStyle w:val="HeadHatzaotHok"/>
        <w:jc w:val="right"/>
        <w:rPr>
          <w:b w:val="0"/>
          <w:bCs w:val="0"/>
          <w:szCs w:val="20"/>
        </w:rPr>
      </w:pPr>
      <w:r w:rsidRPr="0000131B">
        <w:rPr>
          <w:rFonts w:hint="cs"/>
          <w:b w:val="0"/>
          <w:bCs w:val="0"/>
          <w:szCs w:val="20"/>
          <w:rtl/>
        </w:rPr>
        <w:t xml:space="preserve">מספר פנימי: </w:t>
      </w:r>
      <w:bookmarkStart w:name="LGS_Internal_ID" w:id="0"/>
      <w:r>
        <w:rPr>
          <w:rFonts w:hint="cs"/>
          <w:b w:val="0"/>
          <w:bCs w:val="0"/>
          <w:szCs w:val="20"/>
          <w:rtl/>
        </w:rPr>
        <w:t>563813</w:t>
      </w:r>
      <w:bookmarkEnd w:id="0"/>
    </w:p>
    <w:p w:rsidRPr="00DB7060" w:rsidR="00E13C27" w:rsidP="00A443CF" w:rsidRDefault="00E13C27" w14:paraId="7F6961A2" w14:textId="53D639AE">
      <w:pPr>
        <w:pStyle w:val="HeadHatzaotHok"/>
        <w:rPr>
          <w:sz w:val="28"/>
          <w:szCs w:val="28"/>
          <w:rtl/>
        </w:rPr>
      </w:pPr>
      <w:r w:rsidRPr="00DB7060">
        <w:rPr>
          <w:rFonts w:hint="cs"/>
          <w:sz w:val="28"/>
          <w:szCs w:val="28"/>
          <w:rtl/>
        </w:rPr>
        <w:t xml:space="preserve">הכנסת </w:t>
      </w:r>
      <w:bookmarkStart w:name="LGS_Knesset_Num" w:id="1"/>
      <w:r>
        <w:rPr>
          <w:rFonts w:hint="cs"/>
          <w:sz w:val="28"/>
          <w:szCs w:val="28"/>
          <w:rtl/>
        </w:rPr>
        <w:t>העשרים</w:t>
      </w:r>
      <w:bookmarkEnd w:id="1"/>
    </w:p>
    <w:p w:rsidRPr="00F67051" w:rsidR="00E13C27" w:rsidP="00E13C27" w:rsidRDefault="00E13C27" w14:paraId="7F6961A3" w14:textId="77777777">
      <w:pPr>
        <w:rPr>
          <w:rFonts w:cs="David"/>
          <w:b/>
          <w:bCs/>
          <w:sz w:val="26"/>
          <w:szCs w:val="26"/>
          <w:rtl/>
        </w:rPr>
      </w:pPr>
    </w:p>
    <w:p w:rsidR="00E13C27" w:rsidP="00CF1AA2" w:rsidRDefault="008F6665" w14:paraId="7F6961A6" w14:textId="77777777">
      <w:pPr>
        <w:pStyle w:val="David"/>
        <w:ind w:left="3544"/>
        <w:rPr>
          <w:b/>
          <w:bCs/>
          <w:rtl/>
        </w:rPr>
      </w:pPr>
      <w:bookmarkStart w:name="LGS_Initiators_List" w:id="2"/>
      <w:r>
        <w:rPr>
          <w:b/>
          <w:bCs/>
          <w:rtl/>
        </w:rPr>
        <w:t xml:space="preserve">יוזמים:      חברי הכנסת</w:t>
      </w:r>
      <w:bookmarkEnd w:id="2"/>
      <w:r w:rsidRPr="00F67051" w:rsidR="00B35784">
        <w:rPr>
          <w:b/>
          <w:bCs/>
        </w:rPr>
        <w:tab/>
      </w:r>
      <w:bookmarkStart w:name="LGS_PM_Names" w:id="3"/>
      <w:r>
        <w:rPr>
          <w:rFonts w:hint="cs"/>
          <w:b/>
          <w:bCs/>
          <w:rtl/>
        </w:rPr>
        <w:t xml:space="preserve">איציק שמולי</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קארין אלהרר</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מירב בן ארי</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יואב בן צור</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רועי פולקמן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אורן אסף חזן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אילן גילאון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מיקי רוזנטל</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נחמן שי</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משה גפני</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מנואל טרכטנברג</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אייל בן ראובן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תמר זנדברג</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מיכל רוזין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מיקי לוי</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חיים ילין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עיסאווי פריג'</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רחל עזריה</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מכלוף מיקי זוהר</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אברהם נגוסה</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עבדאללה אבו מערוף</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רויטל סויד</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זהבה גלאון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טלי פלוסקוב</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דב חנין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מיכאל אורן</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אלי אלאלוף</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שלי יחימוביץ'</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מרב מיכאלי</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עמר בר-לב</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איתן כבל</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חנין זועבי</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יחיאל חיליק בר</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אורי מקלב</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אראל מרגלית</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אחמד טיבי</w:t>
      </w:r>
      <w:r>
        <w:br/>
      </w:r>
      <w:r>
        <w:rPr>
          <w:rFonts w:hint="cs"/>
          <w:b/>
          <w:bCs/>
          <w:rtl/>
        </w:rPr>
        <w:t xml:space="preserve">
</w:t>
      </w:r>
      <w:r>
        <w:tab/>
      </w:r>
      <w:r>
        <w:rPr>
          <w:rFonts w:hint="cs"/>
          <w:b/>
          <w:bCs/>
          <w:rtl/>
        </w:rPr>
        <w:t xml:space="preserve"/>
      </w:r>
      <w:r>
        <w:tab/>
      </w:r>
      <w:r>
        <w:rPr>
          <w:rFonts w:hint="cs"/>
          <w:b/>
          <w:bCs/>
          <w:rtl/>
        </w:rPr>
        <w:t xml:space="preserve"/>
      </w:r>
      <w:r>
        <w:tab/>
      </w:r>
      <w:r>
        <w:rPr>
          <w:rFonts w:hint="cs"/>
          <w:b/>
          <w:bCs/>
          <w:rtl/>
        </w:rPr>
        <w:t xml:space="preserve"/>
      </w:r>
      <w:r>
        <w:tab/>
      </w:r>
      <w:r>
        <w:rPr>
          <w:rFonts w:hint="cs"/>
          <w:b/>
          <w:bCs/>
          <w:rtl/>
        </w:rPr>
        <w:t xml:space="preserve">יוסי יונה</w:t>
      </w:r>
      <w:bookmarkEnd w:id="3"/>
    </w:p>
    <w:p w:rsidRPr="00CF1AA2" w:rsidR="00E13C27" w:rsidP="00CF1AA2" w:rsidRDefault="007D585A" w14:paraId="7F6961AA" w14:textId="77777777">
      <w:pPr>
        <w:pStyle w:val="David"/>
        <w:ind w:left="3544"/>
        <w:rPr>
          <w:b/>
          <w:bCs/>
          <w:rtl/>
        </w:rPr>
      </w:pPr>
      <w:bookmarkStart w:name="LGS_Join_List" w:id="4"/>
      <w:r>
        <w:rPr>
          <w:rtl/>
        </w:rPr>
        <w:t xml:space="preserve"> </w:t>
      </w:r>
      <w:bookmarkEnd w:id="4"/>
      <w:r w:rsidRPr="00CF1AA2" w:rsidR="002200A1">
        <w:rPr>
          <w:rFonts w:hint="cs"/>
          <w:rtl/>
        </w:rPr>
        <w:tab/>
      </w:r>
      <w:bookmarkStart w:name="LGS_PM_NamesJoin" w:id="5"/>
      <w:r>
        <w:rPr>
          <w:rFonts w:hint="cs"/>
          <w:rtl/>
        </w:rPr>
        <w:t xml:space="preserve"> </w:t>
      </w:r>
      <w:bookmarkEnd w:id="5"/>
    </w:p>
    <w:p w:rsidRPr="00E06736" w:rsidR="00E13C27" w:rsidP="00416B4D" w:rsidRDefault="0014195F" w14:paraId="7F6961AB" w14:textId="1A02760E">
      <w:pPr>
        <w:pStyle w:val="David"/>
        <w:ind w:left="3544"/>
        <w:rPr>
          <w:rtl/>
        </w:rPr>
      </w:pPr>
      <w:r w:rsidRPr="00CF1AA2">
        <w:rPr>
          <w:b/>
          <w:bCs/>
          <w:noProof/>
          <w:rtl/>
          <w:lang w:eastAsia="en-US"/>
        </w:rPr>
        <mc:AlternateContent>
          <mc:Choice Requires="wps">
            <w:drawing>
              <wp:anchor distT="0" distB="0" distL="114300" distR="114300" simplePos="0" relativeHeight="251658752" behindDoc="0" locked="0" layoutInCell="1" allowOverlap="1" wp14:editId="7F6961CF" wp14:anchorId="7F6961CE">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wp:cNvGraphicFramePr>
                <a:graphic>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id="Freeform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27" o:spid="_x0000_s1026" filled="f" points=".1pt,5.1pt,305.55pt,3.75pt" w14:anchorId="21D28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v:path arrowok="t" o:connecttype="custom" o:connectlocs="0,17145;3879215,0" o:connectangles="0,0"/>
              </v:polyline>
            </w:pict>
          </mc:Fallback>
        </mc:AlternateContent>
      </w:r>
      <w:r w:rsidRPr="00E06736" w:rsidR="00E13C27">
        <w:rPr>
          <w:rFonts w:hint="cs"/>
          <w:rtl/>
        </w:rPr>
        <w:tab/>
      </w:r>
      <w:r w:rsidR="00416B4D">
        <w:tab/>
      </w:r>
      <w:r w:rsidR="00FA5E88">
        <w:tab/>
      </w:r>
      <w:r w:rsidRPr="00E06736" w:rsidR="00E13C27">
        <w:rPr>
          <w:rFonts w:hint="cs"/>
          <w:rtl/>
        </w:rPr>
        <w:tab/>
      </w:r>
      <w:r w:rsidRPr="00E06736" w:rsidR="00E06736">
        <w:tab/>
      </w:r>
      <w:bookmarkStart w:name="Private_Number" w:id="6"/>
      <w:r>
        <w:rPr>
          <w:rFonts w:hint="cs"/>
          <w:rtl/>
        </w:rPr>
        <w:t xml:space="preserve"> </w:t>
      </w:r>
      <w:bookmarkEnd w:id="6"/>
      <w:r w:rsidRPr="00E06736" w:rsidR="00E13C27">
        <w:rPr>
          <w:rFonts w:hint="cs"/>
          <w:rtl/>
        </w:rPr>
        <w:tab/>
      </w:r>
      <w:r w:rsidRPr="00E06736" w:rsidR="00E13C27">
        <w:rPr>
          <w:rFonts w:hint="cs"/>
          <w:rtl/>
        </w:rPr>
        <w:tab/>
      </w:r>
      <w:r w:rsidRPr="00E06736" w:rsidR="00E13C27">
        <w:rPr>
          <w:rFonts w:hint="cs"/>
          <w:rtl/>
        </w:rPr>
        <w:tab/>
      </w:r>
    </w:p>
    <w:p w:rsidR="00E13C27" w:rsidP="00E13C27" w:rsidRDefault="00E13C27" w14:paraId="7F6961AC" w14:textId="77777777">
      <w:pPr>
        <w:spacing w:before="0" w:line="360" w:lineRule="auto"/>
        <w:ind w:left="2880" w:firstLine="720"/>
        <w:rPr>
          <w:rFonts w:cs="David"/>
          <w:sz w:val="26"/>
          <w:szCs w:val="26"/>
          <w:rtl/>
        </w:rPr>
      </w:pPr>
    </w:p>
    <w:p w:rsidRPr="00F67051" w:rsidR="00E13C27" w:rsidP="00A443CF" w:rsidRDefault="00A443CF" w14:paraId="7F6961AD" w14:textId="77777777">
      <w:pPr>
        <w:pStyle w:val="HeadHatzaotHok"/>
        <w:spacing w:line="240" w:lineRule="auto"/>
        <w:rPr>
          <w:rtl/>
        </w:rPr>
      </w:pPr>
      <w:bookmarkStart w:name="LGS_Subject" w:id="7"/>
      <w:r>
        <w:rPr>
          <w:rFonts w:hint="cs"/>
          <w:rtl/>
        </w:rPr>
        <w:t>הצעת חוק ייצוג הולם לעובדים עם מוגבלות בגופים ציבוריים (תיקוני חקיקה), התשע"ה–2015</w:t>
      </w:r>
      <w:bookmarkEnd w:id="7"/>
    </w:p>
    <w:p w:rsidR="00E13C27" w:rsidP="0000131B" w:rsidRDefault="00E13C27" w14:paraId="7F6961AE" w14:textId="77777777">
      <w:pPr>
        <w:pStyle w:val="HeadDivreiHesber"/>
        <w:spacing w:before="0" w:after="0" w:line="240" w:lineRule="auto"/>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8"/>
        <w:gridCol w:w="6518"/>
      </w:tblGrid>
      <w:tr w:rsidR="00560B29" w:rsidTr="00560B29" w14:paraId="035EEF3D" w14:textId="77777777">
        <w:trPr>
          <w:cantSplit/>
          <w:trHeight w:val="60"/>
        </w:trPr>
        <w:tc>
          <w:tcPr>
            <w:tcW w:w="1871" w:type="dxa"/>
          </w:tcPr>
          <w:p w:rsidR="00560B29" w:rsidP="000D3975" w:rsidRDefault="00560B29" w14:paraId="3863FF98" w14:textId="6E86AD22">
            <w:pPr>
              <w:pStyle w:val="TableSideHeading"/>
              <w:keepLines w:val="0"/>
            </w:pPr>
            <w:r>
              <w:rPr>
                <w:rFonts w:hint="cs"/>
                <w:sz w:val="26"/>
                <w:rtl/>
              </w:rPr>
              <w:t>תיקון חוק שוויון זכויות לאנשים עם מוגבלות</w:t>
            </w:r>
          </w:p>
        </w:tc>
        <w:tc>
          <w:tcPr>
            <w:tcW w:w="624" w:type="dxa"/>
          </w:tcPr>
          <w:p w:rsidR="00560B29" w:rsidP="000D3975" w:rsidRDefault="00560B29" w14:paraId="6F513EF6" w14:textId="143ADFBE">
            <w:pPr>
              <w:pStyle w:val="TableText"/>
              <w:keepLines w:val="0"/>
            </w:pPr>
            <w:r>
              <w:rPr>
                <w:rFonts w:hint="cs"/>
                <w:sz w:val="26"/>
                <w:rtl/>
              </w:rPr>
              <w:t xml:space="preserve">1. </w:t>
            </w:r>
          </w:p>
        </w:tc>
        <w:tc>
          <w:tcPr>
            <w:tcW w:w="7146" w:type="dxa"/>
            <w:gridSpan w:val="2"/>
          </w:tcPr>
          <w:p w:rsidRPr="00560B29" w:rsidR="00560B29" w:rsidP="00560B29" w:rsidRDefault="00560B29" w14:paraId="1AE94DEB" w14:textId="69812A25">
            <w:pPr>
              <w:pStyle w:val="TableHead"/>
              <w:keepLines w:val="0"/>
              <w:jc w:val="both"/>
              <w:rPr>
                <w:b w:val="0"/>
                <w:bCs w:val="0"/>
              </w:rPr>
            </w:pPr>
            <w:r w:rsidRPr="00560B29">
              <w:rPr>
                <w:rFonts w:hint="cs"/>
                <w:b w:val="0"/>
                <w:bCs w:val="0"/>
                <w:rtl/>
              </w:rPr>
              <w:t>בחוק שוויון זכויות לאנשים עם מוגבלות, התשנ"ח–1998</w:t>
            </w:r>
            <w:r w:rsidRPr="00560B29">
              <w:rPr>
                <w:rStyle w:val="a6"/>
                <w:b w:val="0"/>
                <w:bCs w:val="0"/>
                <w:rtl/>
              </w:rPr>
              <w:footnoteReference w:id="2"/>
            </w:r>
            <w:r w:rsidRPr="00560B29">
              <w:rPr>
                <w:rFonts w:hint="cs"/>
                <w:b w:val="0"/>
                <w:bCs w:val="0"/>
                <w:rtl/>
              </w:rPr>
              <w:t xml:space="preserve"> , בסעיף 9 </w:t>
            </w:r>
            <w:r w:rsidRPr="00560B29">
              <w:rPr>
                <w:rFonts w:hint="cs"/>
                <w:b w:val="0"/>
                <w:bCs w:val="0"/>
                <w:rtl/>
              </w:rPr>
              <w:softHyphen/>
              <w:t>–</w:t>
            </w:r>
          </w:p>
        </w:tc>
      </w:tr>
      <w:tr w:rsidR="00560B29" w:rsidTr="00560B29" w14:paraId="3D9B61D1" w14:textId="77777777">
        <w:trPr>
          <w:cantSplit/>
          <w:trHeight w:val="60"/>
        </w:trPr>
        <w:tc>
          <w:tcPr>
            <w:tcW w:w="1871" w:type="dxa"/>
          </w:tcPr>
          <w:p w:rsidR="00560B29" w:rsidP="000D3975" w:rsidRDefault="00560B29" w14:paraId="6C0CB9D8" w14:textId="77777777">
            <w:pPr>
              <w:pStyle w:val="TableSideHeading"/>
              <w:keepLines w:val="0"/>
            </w:pPr>
          </w:p>
        </w:tc>
        <w:tc>
          <w:tcPr>
            <w:tcW w:w="624" w:type="dxa"/>
          </w:tcPr>
          <w:p w:rsidR="00560B29" w:rsidP="000D3975" w:rsidRDefault="00560B29" w14:paraId="3F4286A2" w14:textId="77777777">
            <w:pPr>
              <w:pStyle w:val="TableText"/>
              <w:keepLines w:val="0"/>
            </w:pPr>
          </w:p>
        </w:tc>
        <w:tc>
          <w:tcPr>
            <w:tcW w:w="7146" w:type="dxa"/>
            <w:gridSpan w:val="2"/>
          </w:tcPr>
          <w:p w:rsidRPr="00C34DE2" w:rsidR="00560B29" w:rsidP="000D3975" w:rsidRDefault="00560B29" w14:paraId="7633D5BB" w14:textId="529428E7">
            <w:pPr>
              <w:pStyle w:val="TableBlock"/>
              <w:keepLines w:val="0"/>
            </w:pPr>
            <w:r>
              <w:rPr>
                <w:rFonts w:hint="cs"/>
                <w:rtl/>
              </w:rPr>
              <w:t>(1)</w:t>
            </w:r>
            <w:r>
              <w:rPr>
                <w:rFonts w:hint="cs"/>
                <w:rtl/>
              </w:rPr>
              <w:tab/>
              <w:t xml:space="preserve">בסעיף קטן (א), בסופו יבוא "לעניין מעביד שהוא גוף ציבורי יראו כגוף שיש בו ייצוג הולם מי שלפחות 3% מקרב עובדיו הם אנשים עם מוגבלות"; </w:t>
            </w:r>
          </w:p>
        </w:tc>
      </w:tr>
      <w:tr w:rsidR="00560B29" w:rsidTr="00560B29" w14:paraId="565F33A1" w14:textId="77777777">
        <w:trPr>
          <w:cantSplit/>
          <w:trHeight w:val="60"/>
        </w:trPr>
        <w:tc>
          <w:tcPr>
            <w:tcW w:w="1871" w:type="dxa"/>
          </w:tcPr>
          <w:p w:rsidR="00560B29" w:rsidP="000D3975" w:rsidRDefault="00560B29" w14:paraId="421A405B" w14:textId="77777777">
            <w:pPr>
              <w:pStyle w:val="TableSideHeading"/>
              <w:keepLines w:val="0"/>
            </w:pPr>
          </w:p>
        </w:tc>
        <w:tc>
          <w:tcPr>
            <w:tcW w:w="624" w:type="dxa"/>
          </w:tcPr>
          <w:p w:rsidR="00560B29" w:rsidP="000D3975" w:rsidRDefault="00560B29" w14:paraId="0423B5EF" w14:textId="77777777">
            <w:pPr>
              <w:pStyle w:val="TableText"/>
              <w:keepLines w:val="0"/>
            </w:pPr>
          </w:p>
        </w:tc>
        <w:tc>
          <w:tcPr>
            <w:tcW w:w="7146" w:type="dxa"/>
            <w:gridSpan w:val="2"/>
          </w:tcPr>
          <w:p w:rsidRPr="00C34DE2" w:rsidR="00560B29" w:rsidP="000D3975" w:rsidRDefault="00560B29" w14:paraId="69074140" w14:textId="18F20AD9">
            <w:pPr>
              <w:pStyle w:val="TableBlock"/>
              <w:keepLines w:val="0"/>
            </w:pPr>
            <w:r>
              <w:rPr>
                <w:rFonts w:hint="cs"/>
                <w:rtl/>
              </w:rPr>
              <w:t>(2)</w:t>
            </w:r>
            <w:r>
              <w:rPr>
                <w:rFonts w:hint="cs"/>
                <w:rtl/>
              </w:rPr>
              <w:tab/>
              <w:t>אחרי סעיף קטן (א) יבוא:</w:t>
            </w:r>
          </w:p>
        </w:tc>
      </w:tr>
      <w:tr w:rsidR="00560B29" w:rsidTr="00560B29" w14:paraId="3DF8ABBB" w14:textId="77777777">
        <w:trPr>
          <w:cantSplit/>
          <w:trHeight w:val="60"/>
        </w:trPr>
        <w:tc>
          <w:tcPr>
            <w:tcW w:w="1871" w:type="dxa"/>
          </w:tcPr>
          <w:p w:rsidR="00560B29" w:rsidP="000D3975" w:rsidRDefault="00560B29" w14:paraId="4B3BADDD" w14:textId="675CF91C">
            <w:pPr>
              <w:pStyle w:val="TableSideHeading"/>
              <w:keepLines w:val="0"/>
            </w:pPr>
          </w:p>
        </w:tc>
        <w:tc>
          <w:tcPr>
            <w:tcW w:w="624" w:type="dxa"/>
          </w:tcPr>
          <w:p w:rsidR="00560B29" w:rsidP="000D3975" w:rsidRDefault="00560B29" w14:paraId="4B89E68E" w14:textId="77777777">
            <w:pPr>
              <w:pStyle w:val="TableText"/>
              <w:keepLines w:val="0"/>
            </w:pPr>
          </w:p>
        </w:tc>
        <w:tc>
          <w:tcPr>
            <w:tcW w:w="628" w:type="dxa"/>
          </w:tcPr>
          <w:p w:rsidRPr="00C34DE2" w:rsidR="00560B29" w:rsidP="000D3975" w:rsidRDefault="00560B29" w14:paraId="3E065C4E" w14:textId="007D7C9F">
            <w:pPr>
              <w:pStyle w:val="TableBlock"/>
              <w:keepLines w:val="0"/>
            </w:pPr>
          </w:p>
        </w:tc>
        <w:tc>
          <w:tcPr>
            <w:tcW w:w="6518" w:type="dxa"/>
          </w:tcPr>
          <w:p w:rsidRPr="00C34DE2" w:rsidR="00560B29" w:rsidP="000D3975" w:rsidRDefault="00560B29" w14:paraId="045EA550" w14:textId="5DEBB315">
            <w:pPr>
              <w:pStyle w:val="TableBlock"/>
              <w:keepLines w:val="0"/>
            </w:pPr>
            <w:r>
              <w:rPr>
                <w:rFonts w:hint="cs"/>
                <w:rtl/>
              </w:rPr>
              <w:t>"(א1)</w:t>
            </w:r>
            <w:r>
              <w:rPr>
                <w:rFonts w:hint="cs"/>
                <w:rtl/>
              </w:rPr>
              <w:tab/>
              <w:t>מעביד שהוא גוף ציבורי, ימנה ממונה תעסוקה (להלן – הממונה); הממונה ישמש כתובת לפניות העובד והמעביד בנושא ייצוג הולם, ויהיה כפוף בעניינים הנוגעים למילוי תפקידו להנחיות מקצועיות שתקבע הנציבות.";</w:t>
            </w:r>
          </w:p>
        </w:tc>
      </w:tr>
      <w:tr w:rsidR="00560B29" w:rsidTr="00560B29" w14:paraId="6590F930" w14:textId="77777777">
        <w:trPr>
          <w:cantSplit/>
          <w:trHeight w:val="60"/>
        </w:trPr>
        <w:tc>
          <w:tcPr>
            <w:tcW w:w="1871" w:type="dxa"/>
          </w:tcPr>
          <w:p w:rsidR="00560B29" w:rsidP="000D3975" w:rsidRDefault="00560B29" w14:paraId="6F482447" w14:textId="2E4A5CA4">
            <w:pPr>
              <w:pStyle w:val="TableSideHeading"/>
              <w:keepLines w:val="0"/>
            </w:pPr>
          </w:p>
        </w:tc>
        <w:tc>
          <w:tcPr>
            <w:tcW w:w="624" w:type="dxa"/>
          </w:tcPr>
          <w:p w:rsidR="00560B29" w:rsidP="000D3975" w:rsidRDefault="00560B29" w14:paraId="3DA4A4BD" w14:textId="77777777">
            <w:pPr>
              <w:pStyle w:val="TableText"/>
              <w:keepLines w:val="0"/>
            </w:pPr>
          </w:p>
        </w:tc>
        <w:tc>
          <w:tcPr>
            <w:tcW w:w="7146" w:type="dxa"/>
            <w:gridSpan w:val="2"/>
          </w:tcPr>
          <w:p w:rsidRPr="00C34DE2" w:rsidR="00560B29" w:rsidP="000D3975" w:rsidRDefault="00560B29" w14:paraId="7050C48B" w14:textId="2D2AF87D">
            <w:pPr>
              <w:pStyle w:val="TableBlock"/>
              <w:keepLines w:val="0"/>
            </w:pPr>
            <w:r>
              <w:rPr>
                <w:rFonts w:hint="cs"/>
                <w:rtl/>
              </w:rPr>
              <w:t>(3)</w:t>
            </w:r>
            <w:r>
              <w:rPr>
                <w:rFonts w:hint="cs"/>
                <w:rtl/>
              </w:rPr>
              <w:tab/>
              <w:t>בסעיף קטן (ד), בהגדרה "מעביד", בסופה יבוא "ולעניין גוף ציבורי שאיננו המדינה או מעביד אחר כאמור, גם אם הוא מעסיק פחות מ-25 עובדים".</w:t>
            </w:r>
          </w:p>
        </w:tc>
      </w:tr>
      <w:tr w:rsidR="00560B29" w:rsidTr="00560B29" w14:paraId="6DB6C892" w14:textId="77777777">
        <w:trPr>
          <w:cantSplit/>
          <w:trHeight w:val="60"/>
        </w:trPr>
        <w:tc>
          <w:tcPr>
            <w:tcW w:w="1871" w:type="dxa"/>
          </w:tcPr>
          <w:p w:rsidR="00560B29" w:rsidP="000D3975" w:rsidRDefault="00560B29" w14:paraId="7F8C5BA4" w14:textId="189FA60E">
            <w:pPr>
              <w:pStyle w:val="TableSideHeading"/>
              <w:keepLines w:val="0"/>
            </w:pPr>
          </w:p>
        </w:tc>
        <w:tc>
          <w:tcPr>
            <w:tcW w:w="624" w:type="dxa"/>
          </w:tcPr>
          <w:p w:rsidR="00560B29" w:rsidP="000D3975" w:rsidRDefault="00560B29" w14:paraId="46A49E36" w14:textId="77777777">
            <w:pPr>
              <w:pStyle w:val="TableText"/>
              <w:keepLines w:val="0"/>
            </w:pPr>
          </w:p>
        </w:tc>
        <w:tc>
          <w:tcPr>
            <w:tcW w:w="7146" w:type="dxa"/>
            <w:gridSpan w:val="2"/>
          </w:tcPr>
          <w:p w:rsidRPr="00C34DE2" w:rsidR="00560B29" w:rsidP="000D3975" w:rsidRDefault="00560B29" w14:paraId="34564C38" w14:textId="648BA35B">
            <w:pPr>
              <w:pStyle w:val="TableBlock"/>
              <w:keepLines w:val="0"/>
            </w:pPr>
            <w:r>
              <w:rPr>
                <w:rFonts w:hint="cs"/>
                <w:rtl/>
              </w:rPr>
              <w:t>(4)</w:t>
            </w:r>
            <w:r>
              <w:rPr>
                <w:rFonts w:hint="cs"/>
                <w:rtl/>
              </w:rPr>
              <w:tab/>
              <w:t>אחרי סעיף קטן (ד) יבוא:</w:t>
            </w:r>
          </w:p>
        </w:tc>
      </w:tr>
      <w:tr w:rsidR="00560B29" w:rsidTr="00560B29" w14:paraId="2EAAA5FF" w14:textId="77777777">
        <w:trPr>
          <w:cantSplit/>
          <w:trHeight w:val="60"/>
        </w:trPr>
        <w:tc>
          <w:tcPr>
            <w:tcW w:w="1871" w:type="dxa"/>
          </w:tcPr>
          <w:p w:rsidR="00560B29" w:rsidP="000D3975" w:rsidRDefault="00560B29" w14:paraId="4CF3F9E8" w14:textId="2D0D243B">
            <w:pPr>
              <w:pStyle w:val="TableSideHeading"/>
              <w:keepLines w:val="0"/>
            </w:pPr>
          </w:p>
        </w:tc>
        <w:tc>
          <w:tcPr>
            <w:tcW w:w="624" w:type="dxa"/>
          </w:tcPr>
          <w:p w:rsidR="00560B29" w:rsidP="000D3975" w:rsidRDefault="00560B29" w14:paraId="46C71A3D" w14:textId="77777777">
            <w:pPr>
              <w:pStyle w:val="TableText"/>
              <w:keepLines w:val="0"/>
            </w:pPr>
          </w:p>
        </w:tc>
        <w:tc>
          <w:tcPr>
            <w:tcW w:w="628" w:type="dxa"/>
          </w:tcPr>
          <w:p w:rsidRPr="00C34DE2" w:rsidR="00560B29" w:rsidP="000D3975" w:rsidRDefault="00560B29" w14:paraId="25E24A40" w14:textId="37F8FA85">
            <w:pPr>
              <w:pStyle w:val="TableBlock"/>
              <w:keepLines w:val="0"/>
            </w:pPr>
          </w:p>
        </w:tc>
        <w:tc>
          <w:tcPr>
            <w:tcW w:w="6518" w:type="dxa"/>
          </w:tcPr>
          <w:p w:rsidRPr="00C34DE2" w:rsidR="00560B29" w:rsidP="000D3975" w:rsidRDefault="00560B29" w14:paraId="5F468008" w14:textId="1148315A">
            <w:pPr>
              <w:pStyle w:val="TableBlock"/>
              <w:keepLines w:val="0"/>
            </w:pPr>
            <w:r>
              <w:rPr>
                <w:rFonts w:hint="cs"/>
                <w:rtl/>
              </w:rPr>
              <w:t>"(ה)</w:t>
            </w:r>
            <w:r>
              <w:rPr>
                <w:rFonts w:hint="cs"/>
                <w:rtl/>
              </w:rPr>
              <w:tab/>
              <w:t>אחת לשנה יגיש השר הממונה על הגוף הציבורי לממשלה, למבקר המדינה, לנציבות ולוועדת העבודה, הרווחה והבריאות של הכנסת דין וחשבון באשר לייצוג הולם של אנשים עם מוגבלות בקרב עובדי הגוף הציבורי האמור, וכן תוכנית יעדים ומטרות בדבר יישום הייצוג ההולם לשנים הבאות."</w:t>
            </w:r>
          </w:p>
        </w:tc>
      </w:tr>
      <w:tr w:rsidR="00560B29" w:rsidTr="00560B29" w14:paraId="069276A9" w14:textId="77777777">
        <w:trPr>
          <w:cantSplit/>
          <w:trHeight w:val="60"/>
        </w:trPr>
        <w:tc>
          <w:tcPr>
            <w:tcW w:w="1871" w:type="dxa"/>
          </w:tcPr>
          <w:p w:rsidR="00560B29" w:rsidP="000D3975" w:rsidRDefault="00560B29" w14:paraId="0B10E5EA" w14:textId="661D5819">
            <w:pPr>
              <w:pStyle w:val="TableSideHeading"/>
              <w:keepLines w:val="0"/>
            </w:pPr>
            <w:r>
              <w:rPr>
                <w:rFonts w:hint="cs"/>
                <w:rtl/>
              </w:rPr>
              <w:t>תיקון חוק שירות המדינה (מינויים)</w:t>
            </w:r>
          </w:p>
        </w:tc>
        <w:tc>
          <w:tcPr>
            <w:tcW w:w="624" w:type="dxa"/>
          </w:tcPr>
          <w:p w:rsidR="00560B29" w:rsidP="000D3975" w:rsidRDefault="00560B29" w14:paraId="2250F483" w14:textId="247732F7">
            <w:pPr>
              <w:pStyle w:val="TableText"/>
              <w:keepLines w:val="0"/>
            </w:pPr>
            <w:r>
              <w:rPr>
                <w:rFonts w:hint="cs"/>
                <w:rtl/>
              </w:rPr>
              <w:t>2.</w:t>
            </w:r>
          </w:p>
        </w:tc>
        <w:tc>
          <w:tcPr>
            <w:tcW w:w="7146" w:type="dxa"/>
            <w:gridSpan w:val="2"/>
          </w:tcPr>
          <w:p w:rsidRPr="00C34DE2" w:rsidR="00560B29" w:rsidP="000D3975" w:rsidRDefault="00560B29" w14:paraId="16C10967" w14:textId="58058071">
            <w:pPr>
              <w:pStyle w:val="TableBlock"/>
              <w:keepLines w:val="0"/>
            </w:pPr>
            <w:r>
              <w:rPr>
                <w:rFonts w:hint="cs"/>
                <w:rtl/>
              </w:rPr>
              <w:t>בחוק שירות המדינה (מינויים), התשי"ט–1959</w:t>
            </w:r>
            <w:r>
              <w:rPr>
                <w:rStyle w:val="a6"/>
                <w:rtl/>
              </w:rPr>
              <w:footnoteReference w:id="3"/>
            </w:r>
            <w:r>
              <w:rPr>
                <w:rFonts w:hint="cs"/>
                <w:rtl/>
              </w:rPr>
              <w:t>, בסעיף 15א, אחרי סעיף קטן (א) יבוא:</w:t>
            </w:r>
          </w:p>
        </w:tc>
      </w:tr>
      <w:tr w:rsidR="00560B29" w:rsidTr="00560B29" w14:paraId="18562621" w14:textId="77777777">
        <w:trPr>
          <w:cantSplit/>
          <w:trHeight w:val="60"/>
        </w:trPr>
        <w:tc>
          <w:tcPr>
            <w:tcW w:w="1871" w:type="dxa"/>
          </w:tcPr>
          <w:p w:rsidR="00560B29" w:rsidP="000D3975" w:rsidRDefault="00560B29" w14:paraId="574EC926" w14:textId="384206A4">
            <w:pPr>
              <w:pStyle w:val="TableSideHeading"/>
              <w:keepLines w:val="0"/>
            </w:pPr>
          </w:p>
        </w:tc>
        <w:tc>
          <w:tcPr>
            <w:tcW w:w="624" w:type="dxa"/>
          </w:tcPr>
          <w:p w:rsidR="00560B29" w:rsidP="000D3975" w:rsidRDefault="00560B29" w14:paraId="04878D6D" w14:textId="77777777">
            <w:pPr>
              <w:pStyle w:val="TableText"/>
              <w:keepLines w:val="0"/>
            </w:pPr>
          </w:p>
        </w:tc>
        <w:tc>
          <w:tcPr>
            <w:tcW w:w="7146" w:type="dxa"/>
            <w:gridSpan w:val="2"/>
          </w:tcPr>
          <w:p w:rsidRPr="00C34DE2" w:rsidR="00560B29" w:rsidP="000D3975" w:rsidRDefault="00560B29" w14:paraId="5F49412C" w14:textId="17D0C5F2">
            <w:pPr>
              <w:pStyle w:val="TableBlock"/>
              <w:keepLines w:val="0"/>
            </w:pPr>
            <w:r>
              <w:rPr>
                <w:rFonts w:hint="cs"/>
                <w:rtl/>
              </w:rPr>
              <w:t>"(א1)</w:t>
            </w:r>
            <w:r>
              <w:rPr>
                <w:rFonts w:hint="cs"/>
                <w:rtl/>
              </w:rPr>
              <w:tab/>
              <w:t xml:space="preserve"> יראו כמתן ייצוג הולם לעניין אנשים עם מוגבלות לפי סעיף קטן (א), אם לפחות 3% מקרב העובדים הם אנשים עם מוגבלות.".</w:t>
            </w:r>
          </w:p>
        </w:tc>
      </w:tr>
    </w:tbl>
    <w:p w:rsidR="002D1EE3" w:rsidP="002D1EE3" w:rsidRDefault="002D1EE3" w14:paraId="7F6961CA" w14:textId="77777777">
      <w:pPr>
        <w:pStyle w:val="HeadDivreiHesber"/>
        <w:rPr>
          <w:rtl/>
        </w:rPr>
      </w:pPr>
      <w:r w:rsidRPr="0027450A">
        <w:rPr>
          <w:rFonts w:hint="cs"/>
          <w:rtl/>
        </w:rPr>
        <w:t>דברי הסבר</w:t>
      </w:r>
    </w:p>
    <w:p w:rsidR="002717E2" w:rsidP="002717E2" w:rsidRDefault="002717E2" w14:paraId="09F80403" w14:textId="77777777">
      <w:pPr>
        <w:pStyle w:val="Hesber"/>
        <w:rPr>
          <w:sz w:val="26"/>
        </w:rPr>
      </w:pPr>
      <w:r>
        <w:rPr>
          <w:rFonts w:hint="cs"/>
          <w:sz w:val="26"/>
          <w:rtl/>
        </w:rPr>
        <w:t xml:space="preserve">חוק שוויון זכויות לאנשים עם מוגבלות, התשנ"ח–1998 (להלן – החוק), קובע כי על מעביד לפעול לשילוב הולם של אנשים עם מוגבלות, אולם הוא לא קובע מהו ייצוג הולם ולא מפרט אלו צעדים יש לנקוט על מנת ליישמו. </w:t>
      </w:r>
    </w:p>
    <w:p w:rsidR="002717E2" w:rsidP="002717E2" w:rsidRDefault="002717E2" w14:paraId="0ABE93AD" w14:textId="77777777">
      <w:pPr>
        <w:pStyle w:val="Hesber"/>
        <w:rPr>
          <w:rtl/>
        </w:rPr>
      </w:pPr>
      <w:r>
        <w:rPr>
          <w:rFonts w:hint="cs"/>
          <w:rtl/>
        </w:rPr>
        <w:t>בדוח מבקר המדינה 64ג לשנת 2013 פורסמו ממצאים לגבי טיפול הרשויות בשילוב אנשים עם מוגבלות בתעסוקה, לרבות הייצוג ההולם של אנשים עם מוגבלות בשירות המדינה. הדוח קובע בין השאר כי "שיעור העסקתם של אנשים עם מוגבלות בשירות המדינה נמוך ועמד על 2.05% בלבד מעובדי המדינה בשנת 2010 אף ששיעורם באוכלוסייה היה למעלה מ-5%. עוד העלתה הבדיקה כי אף שהתקבלה החלטת ממשלה בינואר 2012 לייעד משרות לאנשים עם מוגבלות וכך לקדם ייצוג הולם בשירות המדינה, במועד סיום הביקורת עדיין לא פורסם מכרז למשרה ייעודית מעין זו. יוצא אפוא כי נציבות שירות המדינה לא פעלה באופן יזום לקידום ייצוגם ההולם של אנשים עם מוגבלות בשירות המדינה, והיקף העסקתם בשירות המדינה נותר נמוך כשהיה".</w:t>
      </w:r>
    </w:p>
    <w:p w:rsidR="002717E2" w:rsidP="002717E2" w:rsidRDefault="002717E2" w14:paraId="4C3415BF" w14:textId="77777777">
      <w:pPr>
        <w:pStyle w:val="Hesber"/>
        <w:rPr>
          <w:sz w:val="26"/>
          <w:rtl/>
        </w:rPr>
      </w:pPr>
      <w:r>
        <w:rPr>
          <w:rFonts w:hint="cs"/>
          <w:sz w:val="26"/>
          <w:rtl/>
        </w:rPr>
        <w:t xml:space="preserve">בשל כך, מוצע לקבוע כי גופים ציבוריים, אף אם הם מעסיקים פחות מ-25 עובדים, יידרשו לדאוג לייצוג הולם של אנשים עם מוגבלויות, כך שמספרם לא יפחת מ-3% מהמספר הכולל של העובדים והעובדות. עוד מוצע שגוף ציבורי כאמור ימנה ממונה שילוב בתעסוקה, שיהווה כתובת לפניות הן של המעביד והן של העובדים בדבר שילוב מוצלח וראוי במקום העבודה. הממונה יפעל על פי כללים מקצועיים שתקבע נציבות שוויון זכויות לאנשים עם מוגבלות כמשמעותה בחוק (להלן – הנציבות). </w:t>
      </w:r>
    </w:p>
    <w:p w:rsidR="002717E2" w:rsidP="002717E2" w:rsidRDefault="002717E2" w14:paraId="053323EF" w14:textId="77777777">
      <w:pPr>
        <w:pStyle w:val="Hesber"/>
        <w:rPr>
          <w:sz w:val="26"/>
          <w:rtl/>
        </w:rPr>
      </w:pPr>
      <w:r>
        <w:rPr>
          <w:rFonts w:hint="cs"/>
          <w:sz w:val="26"/>
          <w:rtl/>
        </w:rPr>
        <w:t xml:space="preserve">כמו כן, מוצע לתקן את חוק שירות המדינה (מינויים), התשי"ט–1959, ולקבוע שיראו כמתן ייצוג הולם לעניין אנשים עם מוגבלות בקרב העובדים בשירות המדינה, אם לפחות 3% מקרב העובדים הם אנשים עם מוגבלות. </w:t>
      </w:r>
    </w:p>
    <w:p w:rsidR="002717E2" w:rsidP="002717E2" w:rsidRDefault="002717E2" w14:paraId="15F63409" w14:textId="77777777">
      <w:pPr>
        <w:pStyle w:val="Hesber"/>
        <w:rPr>
          <w:sz w:val="26"/>
          <w:rtl/>
        </w:rPr>
      </w:pPr>
      <w:r>
        <w:rPr>
          <w:rFonts w:hint="cs"/>
          <w:sz w:val="26"/>
          <w:rtl/>
        </w:rPr>
        <w:t xml:space="preserve">עוד מוצע כי השר הממונה על הגוף הציבורי יעביר מדי שנה דין וחשבון על יישום הוראות החוק בשנה החולפת, וכן לגבי תכניות עתידיות לשילוב העסקה של אנשים עם מוגבלות. הדיווח יוגש לממשלה, למבקר המדינה, לנציבות ולוועדת העבודה, הרווחה והבריאות של הכנסת. </w:t>
      </w:r>
    </w:p>
    <w:p w:rsidR="002717E2" w:rsidP="002717E2" w:rsidRDefault="002717E2" w14:paraId="2136F731" w14:textId="77777777">
      <w:pPr>
        <w:pStyle w:val="Hesber"/>
        <w:rPr>
          <w:sz w:val="26"/>
          <w:rtl/>
        </w:rPr>
      </w:pPr>
      <w:r>
        <w:rPr>
          <w:rFonts w:hint="cs"/>
          <w:sz w:val="26"/>
          <w:rtl/>
        </w:rPr>
        <w:t>הצעת החוק נכתבה בסיוע עו"ד ולאדי גור אריה.</w:t>
      </w:r>
    </w:p>
    <w:p w:rsidR="00E13C27" w:rsidP="00E13C27" w:rsidRDefault="002717E2" w14:paraId="7F6961CB" w14:textId="35256FCA">
      <w:pPr>
        <w:pStyle w:val="Hesber"/>
        <w:rPr>
          <w:rtl/>
        </w:rPr>
      </w:pPr>
      <w:r>
        <w:rPr>
          <w:rFonts w:hint="cs"/>
          <w:rtl/>
        </w:rPr>
        <w:t>הצעת חוק זהה הונחה על שולחן הכנסת התשע עשרה על ידי חבר הכנסת איציק שמולי וקבוצת חברי הכנסת (</w:t>
      </w:r>
      <w:r w:rsidRPr="00AA371C">
        <w:rPr>
          <w:rtl/>
        </w:rPr>
        <w:t>פ/2523/19</w:t>
      </w:r>
      <w:bookmarkStart w:name="_GoBack" w:id="8"/>
      <w:bookmarkEnd w:id="8"/>
      <w:r>
        <w:rPr>
          <w:rFonts w:hint="cs"/>
          <w:rtl/>
        </w:rPr>
        <w:t xml:space="preserve">). </w:t>
      </w:r>
    </w:p>
    <w:sectPr w:rsidR="00E13C27"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961D3" w14:textId="77777777" w:rsidR="00C23B1A" w:rsidRDefault="00C23B1A">
      <w:r>
        <w:separator/>
      </w:r>
    </w:p>
  </w:endnote>
  <w:endnote w:type="continuationSeparator" w:id="0">
    <w:p w14:paraId="7F6961D4" w14:textId="77777777" w:rsidR="00C23B1A" w:rsidRDefault="00C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2717E2">
      <w:rPr>
        <w:rStyle w:val="ab"/>
        <w:noProof/>
        <w:rtl/>
      </w:rPr>
      <w:t>2</w:t>
    </w:r>
    <w:r>
      <w:rPr>
        <w:rStyle w:val="ab"/>
        <w:rtl/>
      </w:rPr>
      <w:fldChar w:fldCharType="end"/>
    </w:r>
  </w:p>
  <w:p w14:paraId="7F6961D8" w14:textId="77777777"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61D0" w14:textId="77777777" w:rsidR="00C23B1A" w:rsidRDefault="00C23B1A">
      <w:r>
        <w:separator/>
      </w:r>
    </w:p>
  </w:footnote>
  <w:footnote w:type="continuationSeparator" w:id="0">
    <w:p w14:paraId="7F6961D1" w14:textId="77777777" w:rsidR="00C23B1A" w:rsidRDefault="00C23B1A">
      <w:r>
        <w:continuationSeparator/>
      </w:r>
    </w:p>
  </w:footnote>
  <w:footnote w:type="continuationNotice" w:id="1">
    <w:p w14:paraId="7F6961D2" w14:textId="77777777" w:rsidR="00C23B1A" w:rsidRDefault="00C23B1A"/>
  </w:footnote>
  <w:footnote w:id="2">
    <w:p w14:paraId="1B3AC7BA" w14:textId="77777777" w:rsidR="00560B29" w:rsidRDefault="00560B29" w:rsidP="00CC0E40">
      <w:pPr>
        <w:pStyle w:val="a4"/>
      </w:pPr>
      <w:r>
        <w:rPr>
          <w:rStyle w:val="a6"/>
        </w:rPr>
        <w:footnoteRef/>
      </w:r>
      <w:r>
        <w:rPr>
          <w:rFonts w:hint="cs"/>
          <w:rtl/>
        </w:rPr>
        <w:t xml:space="preserve"> ס"ח התשנ"ח, עמ' 152. </w:t>
      </w:r>
    </w:p>
  </w:footnote>
  <w:footnote w:id="3">
    <w:p w14:paraId="4BC1B910" w14:textId="77777777" w:rsidR="00560B29" w:rsidRDefault="00560B29" w:rsidP="00CC0E40">
      <w:pPr>
        <w:pStyle w:val="a4"/>
      </w:pPr>
      <w:r>
        <w:rPr>
          <w:rStyle w:val="a6"/>
        </w:rPr>
        <w:footnoteRef/>
      </w:r>
      <w:r>
        <w:rPr>
          <w:rFonts w:hint="cs"/>
          <w:rtl/>
        </w:rPr>
        <w:t xml:space="preserve"> ס"ח התשי"ט, עמ' 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7681A"/>
    <w:rsid w:val="000A542E"/>
    <w:rsid w:val="00102B6B"/>
    <w:rsid w:val="001052D4"/>
    <w:rsid w:val="0010644B"/>
    <w:rsid w:val="001207F8"/>
    <w:rsid w:val="00121924"/>
    <w:rsid w:val="001279A8"/>
    <w:rsid w:val="0014195F"/>
    <w:rsid w:val="00152609"/>
    <w:rsid w:val="00153E1B"/>
    <w:rsid w:val="001A0623"/>
    <w:rsid w:val="001C23B0"/>
    <w:rsid w:val="00203A7F"/>
    <w:rsid w:val="002200A1"/>
    <w:rsid w:val="002362BF"/>
    <w:rsid w:val="00241B97"/>
    <w:rsid w:val="00246756"/>
    <w:rsid w:val="00251E58"/>
    <w:rsid w:val="00254605"/>
    <w:rsid w:val="002717E2"/>
    <w:rsid w:val="002728B4"/>
    <w:rsid w:val="0027600C"/>
    <w:rsid w:val="00292712"/>
    <w:rsid w:val="002A487D"/>
    <w:rsid w:val="002C2E29"/>
    <w:rsid w:val="002D1EE3"/>
    <w:rsid w:val="002F1D80"/>
    <w:rsid w:val="003232A2"/>
    <w:rsid w:val="00325C14"/>
    <w:rsid w:val="003710F6"/>
    <w:rsid w:val="00386E88"/>
    <w:rsid w:val="00396585"/>
    <w:rsid w:val="003D74A0"/>
    <w:rsid w:val="004033D8"/>
    <w:rsid w:val="004073F0"/>
    <w:rsid w:val="00412A7D"/>
    <w:rsid w:val="00416B4D"/>
    <w:rsid w:val="00417CFC"/>
    <w:rsid w:val="004B24ED"/>
    <w:rsid w:val="004D2D82"/>
    <w:rsid w:val="004D3876"/>
    <w:rsid w:val="004E4552"/>
    <w:rsid w:val="00553C9D"/>
    <w:rsid w:val="00560B29"/>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C3FA6"/>
    <w:rsid w:val="007D585A"/>
    <w:rsid w:val="007D5A12"/>
    <w:rsid w:val="007E59F9"/>
    <w:rsid w:val="00810BCD"/>
    <w:rsid w:val="00812C98"/>
    <w:rsid w:val="00814D92"/>
    <w:rsid w:val="0083181D"/>
    <w:rsid w:val="00874BBC"/>
    <w:rsid w:val="00892135"/>
    <w:rsid w:val="00895449"/>
    <w:rsid w:val="00897879"/>
    <w:rsid w:val="008A6870"/>
    <w:rsid w:val="008C2DDC"/>
    <w:rsid w:val="008C7516"/>
    <w:rsid w:val="008E6EC7"/>
    <w:rsid w:val="008F0D63"/>
    <w:rsid w:val="008F2C35"/>
    <w:rsid w:val="008F6665"/>
    <w:rsid w:val="0091204F"/>
    <w:rsid w:val="009203DB"/>
    <w:rsid w:val="00923CD4"/>
    <w:rsid w:val="00943386"/>
    <w:rsid w:val="009456B6"/>
    <w:rsid w:val="00957589"/>
    <w:rsid w:val="00966D06"/>
    <w:rsid w:val="00982412"/>
    <w:rsid w:val="00983A8D"/>
    <w:rsid w:val="009A7257"/>
    <w:rsid w:val="009D6E0A"/>
    <w:rsid w:val="00A14672"/>
    <w:rsid w:val="00A26BD6"/>
    <w:rsid w:val="00A443CF"/>
    <w:rsid w:val="00A6611D"/>
    <w:rsid w:val="00A82CB7"/>
    <w:rsid w:val="00AA2F03"/>
    <w:rsid w:val="00AC36F7"/>
    <w:rsid w:val="00AC63A4"/>
    <w:rsid w:val="00AD239E"/>
    <w:rsid w:val="00B10265"/>
    <w:rsid w:val="00B21211"/>
    <w:rsid w:val="00B35784"/>
    <w:rsid w:val="00B733A7"/>
    <w:rsid w:val="00B975AD"/>
    <w:rsid w:val="00BC45FB"/>
    <w:rsid w:val="00BF148D"/>
    <w:rsid w:val="00C23B1A"/>
    <w:rsid w:val="00C310EB"/>
    <w:rsid w:val="00C9176A"/>
    <w:rsid w:val="00CF1AA2"/>
    <w:rsid w:val="00D63620"/>
    <w:rsid w:val="00D8410D"/>
    <w:rsid w:val="00D867D7"/>
    <w:rsid w:val="00DB7060"/>
    <w:rsid w:val="00DE3153"/>
    <w:rsid w:val="00E06736"/>
    <w:rsid w:val="00E13C27"/>
    <w:rsid w:val="00E33BBD"/>
    <w:rsid w:val="00E45103"/>
    <w:rsid w:val="00E665B9"/>
    <w:rsid w:val="00EA01E6"/>
    <w:rsid w:val="00EA3DE8"/>
    <w:rsid w:val="00EA758F"/>
    <w:rsid w:val="00ED4A6F"/>
    <w:rsid w:val="00EF3A3A"/>
    <w:rsid w:val="00F628D6"/>
    <w:rsid w:val="00F67051"/>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560B29"/>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560B29"/>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B191E883-56F0-4E13-A7F4-462E72553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E91090-9C93-4EA6-BBB5-AA203C17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יעל אדיב</cp:lastModifiedBy>
  <cp:revision>4</cp:revision>
  <cp:lastPrinted>2013-07-04T08:25:00Z</cp:lastPrinted>
  <dcterms:created xsi:type="dcterms:W3CDTF">2015-03-26T08:06:00Z</dcterms:created>
  <dcterms:modified xsi:type="dcterms:W3CDTF">2015-04-28T08:54:00Z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0354fdee-f711-4d2a-9cf2-2d1c4d9ac92a</vt:lpwstr>
  </property>
  <property fmtid="{D5CDD505-2E9C-101B-9397-08002B2CF9AE}" pid="4" name="SanhedrinDocumentType">
    <vt:r8>9</vt:r8>
  </property>
  <property fmtid="{D5CDD505-2E9C-101B-9397-08002B2CF9AE}" pid="5" name="SanhedrinItemID">
    <vt:r8>563813</vt:r8>
  </property>
</Properties>
</file>